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C6" w:rsidRDefault="000A1397" w:rsidP="001E0E42">
      <w:pPr>
        <w:pStyle w:val="Heading1"/>
      </w:pPr>
      <w:r>
        <w:t xml:space="preserve">Maths skills – </w:t>
      </w:r>
      <w:r w:rsidR="001325C6" w:rsidRPr="001753B4">
        <w:t>M0.</w:t>
      </w:r>
      <w:r w:rsidR="001E0E42">
        <w:t>3</w:t>
      </w:r>
      <w:r w:rsidR="001325C6" w:rsidRPr="001753B4">
        <w:t xml:space="preserve"> </w:t>
      </w:r>
      <w:r w:rsidR="001E0E42" w:rsidRPr="001E0E42">
        <w:t>Use</w:t>
      </w:r>
      <w:r w:rsidR="00820A1F">
        <w:t xml:space="preserve"> </w:t>
      </w:r>
      <w:r w:rsidR="001E0E42" w:rsidRPr="001E0E42">
        <w:t>ratios, fractions and percentages</w:t>
      </w:r>
    </w:p>
    <w:p w:rsidR="006B7C7A" w:rsidRDefault="003B5BCE" w:rsidP="001E0E42">
      <w:pPr>
        <w:pStyle w:val="Heading3"/>
      </w:pPr>
      <w:r>
        <w:t>Tutorials</w:t>
      </w:r>
    </w:p>
    <w:p w:rsidR="001E0E42" w:rsidRPr="003032EC" w:rsidRDefault="001E0E42" w:rsidP="001E0E42">
      <w:pPr>
        <w:rPr>
          <w:rFonts w:cs="Arial"/>
        </w:rPr>
      </w:pPr>
      <w:r w:rsidRPr="003032EC">
        <w:rPr>
          <w:rFonts w:cs="Arial"/>
        </w:rPr>
        <w:t>Learners may be tested on their ability to:</w:t>
      </w:r>
    </w:p>
    <w:p w:rsidR="001E0E42" w:rsidRPr="003032EC" w:rsidRDefault="001E0E42" w:rsidP="001E0E42">
      <w:pPr>
        <w:pStyle w:val="ListParagraph"/>
        <w:widowControl w:val="0"/>
        <w:numPr>
          <w:ilvl w:val="0"/>
          <w:numId w:val="3"/>
        </w:numPr>
        <w:kinsoku w:val="0"/>
        <w:spacing w:after="120"/>
        <w:ind w:left="426" w:hanging="426"/>
        <w:rPr>
          <w:rFonts w:cs="Arial"/>
        </w:rPr>
      </w:pPr>
      <w:r w:rsidRPr="003032EC">
        <w:rPr>
          <w:rFonts w:cs="Arial"/>
        </w:rPr>
        <w:t>Calculate percentage yields</w:t>
      </w:r>
    </w:p>
    <w:p w:rsidR="001E0E42" w:rsidRPr="003032EC" w:rsidRDefault="001E0E42" w:rsidP="001E0E42">
      <w:pPr>
        <w:pStyle w:val="ListParagraph"/>
        <w:widowControl w:val="0"/>
        <w:numPr>
          <w:ilvl w:val="0"/>
          <w:numId w:val="3"/>
        </w:numPr>
        <w:kinsoku w:val="0"/>
        <w:spacing w:after="120"/>
        <w:ind w:left="426" w:hanging="426"/>
        <w:rPr>
          <w:rFonts w:cs="Arial"/>
        </w:rPr>
      </w:pPr>
      <w:r w:rsidRPr="003032EC">
        <w:rPr>
          <w:rFonts w:cs="Arial"/>
        </w:rPr>
        <w:t>Calculate surface area</w:t>
      </w:r>
      <w:r>
        <w:rPr>
          <w:rFonts w:cs="Arial"/>
        </w:rPr>
        <w:t xml:space="preserve"> to volume ratio</w:t>
      </w:r>
    </w:p>
    <w:p w:rsidR="001E0E42" w:rsidRPr="003032EC" w:rsidRDefault="001E0E42" w:rsidP="001E0E42">
      <w:pPr>
        <w:pStyle w:val="ListParagraph"/>
        <w:widowControl w:val="0"/>
        <w:numPr>
          <w:ilvl w:val="0"/>
          <w:numId w:val="3"/>
        </w:numPr>
        <w:kinsoku w:val="0"/>
        <w:spacing w:after="120"/>
        <w:ind w:left="426" w:hanging="426"/>
        <w:rPr>
          <w:rFonts w:cs="Arial"/>
        </w:rPr>
      </w:pPr>
      <w:r w:rsidRPr="003032EC">
        <w:rPr>
          <w:rFonts w:cs="Arial"/>
        </w:rPr>
        <w:t xml:space="preserve">Use scales for measuring </w:t>
      </w:r>
    </w:p>
    <w:p w:rsidR="001E0E42" w:rsidRPr="003032EC" w:rsidRDefault="001E0E42" w:rsidP="001E0E42">
      <w:pPr>
        <w:pStyle w:val="ListParagraph"/>
        <w:widowControl w:val="0"/>
        <w:numPr>
          <w:ilvl w:val="0"/>
          <w:numId w:val="3"/>
        </w:numPr>
        <w:kinsoku w:val="0"/>
        <w:spacing w:after="0" w:line="240" w:lineRule="auto"/>
        <w:ind w:left="426" w:hanging="426"/>
        <w:rPr>
          <w:rFonts w:cs="Arial"/>
        </w:rPr>
      </w:pPr>
      <w:r w:rsidRPr="003032EC">
        <w:rPr>
          <w:rFonts w:cs="Arial"/>
        </w:rPr>
        <w:t xml:space="preserve">Represent phenotypic ratios (monohybrid and </w:t>
      </w:r>
      <w:proofErr w:type="spellStart"/>
      <w:r w:rsidRPr="003032EC">
        <w:rPr>
          <w:rFonts w:cs="Arial"/>
        </w:rPr>
        <w:t>dihybrid</w:t>
      </w:r>
      <w:proofErr w:type="spellEnd"/>
      <w:r w:rsidRPr="003032EC">
        <w:rPr>
          <w:rFonts w:cs="Arial"/>
        </w:rPr>
        <w:t xml:space="preserve"> crosses)</w:t>
      </w:r>
    </w:p>
    <w:p w:rsidR="001325C6" w:rsidRDefault="001E0E42" w:rsidP="001325C6">
      <w:pPr>
        <w:pStyle w:val="Heading3"/>
      </w:pPr>
      <w:r>
        <w:t>Percentage</w:t>
      </w:r>
    </w:p>
    <w:p w:rsidR="00FB2252" w:rsidRDefault="001E0E42" w:rsidP="001E0E42">
      <w:r w:rsidRPr="001E0E42">
        <w:t xml:space="preserve">‘Percentage' means 'out of 100'   </w:t>
      </w:r>
    </w:p>
    <w:p w:rsidR="001E0E42" w:rsidRPr="001E0E42" w:rsidRDefault="001E0E42" w:rsidP="001E0E42">
      <w:proofErr w:type="gramStart"/>
      <w:r w:rsidRPr="001E0E42">
        <w:rPr>
          <w:i/>
        </w:rPr>
        <w:t>x</w:t>
      </w:r>
      <w:proofErr w:type="gramEnd"/>
      <w:r w:rsidRPr="001E0E42">
        <w:t xml:space="preserve"> </w:t>
      </w:r>
      <w:proofErr w:type="spellStart"/>
      <w:r w:rsidRPr="001E0E42">
        <w:t>percent</w:t>
      </w:r>
      <w:proofErr w:type="spellEnd"/>
      <w:r w:rsidRPr="001E0E42">
        <w:t xml:space="preserve"> means </w:t>
      </w:r>
      <w:r w:rsidRPr="001E0E42">
        <w:rPr>
          <w:i/>
        </w:rPr>
        <w:t>x</w:t>
      </w:r>
      <w:r w:rsidRPr="001E0E42">
        <w:t xml:space="preserve"> divided by 100.</w:t>
      </w:r>
    </w:p>
    <w:p w:rsidR="001E0E42" w:rsidRPr="001E0E42" w:rsidRDefault="001E0E42" w:rsidP="001E0E42">
      <m:oMathPara>
        <m:oMathParaPr>
          <m:jc m:val="left"/>
        </m:oMathParaPr>
        <m:oMath>
          <m:r>
            <w:rPr>
              <w:rFonts w:ascii="Cambria Math" w:hAnsi="Cambria Math"/>
            </w:rPr>
            <m:t xml:space="preserve">x%=  </m:t>
          </m:r>
          <m:f>
            <m:fPr>
              <m:ctrlPr>
                <w:rPr>
                  <w:rFonts w:ascii="Cambria Math" w:hAnsi="Cambria Math"/>
                  <w:i/>
                </w:rPr>
              </m:ctrlPr>
            </m:fPr>
            <m:num>
              <m:r>
                <w:rPr>
                  <w:rFonts w:ascii="Cambria Math" w:hAnsi="Cambria Math"/>
                </w:rPr>
                <m:t>x</m:t>
              </m:r>
            </m:num>
            <m:den>
              <m:r>
                <w:rPr>
                  <w:rFonts w:ascii="Cambria Math" w:hAnsi="Cambria Math"/>
                </w:rPr>
                <m:t>100</m:t>
              </m:r>
            </m:den>
          </m:f>
        </m:oMath>
      </m:oMathPara>
    </w:p>
    <w:p w:rsidR="001E0E42" w:rsidRPr="001E0E42" w:rsidRDefault="001E0E42" w:rsidP="001E0E42">
      <w:r w:rsidRPr="001E0E42">
        <w:t xml:space="preserve">So a percentage is a fraction of 100. For example, 30 </w:t>
      </w:r>
      <w:proofErr w:type="spellStart"/>
      <w:r w:rsidRPr="001E0E42">
        <w:t>percent</w:t>
      </w:r>
      <w:proofErr w:type="spellEnd"/>
      <w:r w:rsidRPr="001E0E42">
        <w:t xml:space="preserve"> as a fraction is 30 out of 100</w:t>
      </w:r>
    </w:p>
    <w:p w:rsidR="001E0E42" w:rsidRPr="001E0E42" w:rsidRDefault="001E0E42" w:rsidP="001E0E42">
      <m:oMathPara>
        <m:oMathParaPr>
          <m:jc m:val="left"/>
        </m:oMathParaPr>
        <m:oMath>
          <m:r>
            <w:rPr>
              <w:rFonts w:ascii="Cambria Math" w:hAnsi="Cambria Math"/>
            </w:rPr>
            <m:t xml:space="preserve">30 %= </m:t>
          </m:r>
          <m:f>
            <m:fPr>
              <m:ctrlPr>
                <w:rPr>
                  <w:rFonts w:ascii="Cambria Math" w:hAnsi="Cambria Math"/>
                  <w:i/>
                </w:rPr>
              </m:ctrlPr>
            </m:fPr>
            <m:num>
              <m:r>
                <w:rPr>
                  <w:rFonts w:ascii="Cambria Math" w:hAnsi="Cambria Math"/>
                </w:rPr>
                <m:t>30</m:t>
              </m:r>
            </m:num>
            <m:den>
              <m:r>
                <w:rPr>
                  <w:rFonts w:ascii="Cambria Math" w:hAnsi="Cambria Math"/>
                </w:rPr>
                <m:t>100</m:t>
              </m:r>
            </m:den>
          </m:f>
        </m:oMath>
      </m:oMathPara>
    </w:p>
    <w:p w:rsidR="001E0E42" w:rsidRPr="001E0E42" w:rsidRDefault="001E0E42" w:rsidP="001E0E42">
      <w:r w:rsidRPr="001E0E42">
        <w:t xml:space="preserve">Let’s look at how you convert 30/100 into a percentage. First you work out 30/100 as a decimal, which is 0.3, and then you multiply this by 100. Remember that </w:t>
      </w:r>
      <w:proofErr w:type="spellStart"/>
      <w:r w:rsidRPr="001E0E42">
        <w:t>percent</w:t>
      </w:r>
      <w:proofErr w:type="spellEnd"/>
      <w:r w:rsidRPr="001E0E42">
        <w:t xml:space="preserve"> means ‘out of 100’.</w:t>
      </w:r>
    </w:p>
    <w:p w:rsidR="001E0E42" w:rsidRPr="001E0E42" w:rsidRDefault="001E0E42" w:rsidP="001E0E42">
      <w:r w:rsidRPr="001E0E42">
        <w:t xml:space="preserve">Let’s convert 30/110 into a percentage. Firstly work out 30/110 as a decimal – you might need a calculator to do this.  And then multiply your answer by 100, which </w:t>
      </w:r>
      <w:proofErr w:type="gramStart"/>
      <w:r w:rsidRPr="001E0E42">
        <w:t>gives</w:t>
      </w:r>
      <w:proofErr w:type="gramEnd"/>
      <w:r w:rsidRPr="001E0E42">
        <w:t xml:space="preserve"> you 27</w:t>
      </w:r>
      <w:r w:rsidRPr="001E0E42">
        <w:rPr>
          <w:sz w:val="12"/>
          <w:szCs w:val="12"/>
        </w:rPr>
        <w:t xml:space="preserve"> </w:t>
      </w:r>
      <w:r w:rsidRPr="001E0E42">
        <w:t>%.  Working backwards, 27</w:t>
      </w:r>
      <w:r w:rsidRPr="001E0E42">
        <w:rPr>
          <w:sz w:val="12"/>
          <w:szCs w:val="12"/>
        </w:rPr>
        <w:t xml:space="preserve"> </w:t>
      </w:r>
      <w:r w:rsidRPr="001E0E42">
        <w:t>% means 27 out of 100.  And this is equivalent, or equal to, 30/110.</w:t>
      </w:r>
    </w:p>
    <w:p w:rsidR="001E0E42" w:rsidRPr="001E0E42" w:rsidRDefault="001E0E42" w:rsidP="001E0E42">
      <w:r w:rsidRPr="001E0E42">
        <w:t xml:space="preserve">In biology you may be required to find a percentage of a quantity. For example in studying populations you might want to know the gender distribution in a population. To work out the percentage you need to divide the </w:t>
      </w:r>
      <w:r w:rsidR="00A5549E">
        <w:t>‘</w:t>
      </w:r>
      <w:r w:rsidRPr="001E0E42">
        <w:t>part</w:t>
      </w:r>
      <w:r w:rsidR="00A5549E">
        <w:t>’</w:t>
      </w:r>
      <w:r w:rsidR="00A5549E" w:rsidRPr="001E0E42">
        <w:t xml:space="preserve"> </w:t>
      </w:r>
      <w:r w:rsidR="00601EF5">
        <w:t>(</w:t>
      </w:r>
      <w:r w:rsidRPr="001E0E42">
        <w:t>the specific data you are look</w:t>
      </w:r>
      <w:r w:rsidR="00601EF5">
        <w:t>ing at)</w:t>
      </w:r>
      <w:r w:rsidRPr="001E0E42">
        <w:t xml:space="preserve"> by the </w:t>
      </w:r>
      <w:r w:rsidR="00A5549E">
        <w:t>‘</w:t>
      </w:r>
      <w:r w:rsidRPr="001E0E42">
        <w:t>whole</w:t>
      </w:r>
      <w:r w:rsidR="00A5549E">
        <w:t>’</w:t>
      </w:r>
      <w:r w:rsidR="00601EF5">
        <w:t xml:space="preserve"> (</w:t>
      </w:r>
      <w:r w:rsidRPr="001E0E42">
        <w:t>the total number</w:t>
      </w:r>
      <w:r w:rsidR="00601EF5">
        <w:t>)</w:t>
      </w:r>
      <w:r w:rsidRPr="001E0E42">
        <w:t>. To convert this into a percentage you multiply your answer by 100</w:t>
      </w:r>
      <w:r w:rsidRPr="001E0E42">
        <w:rPr>
          <w:sz w:val="12"/>
          <w:szCs w:val="12"/>
        </w:rPr>
        <w:t xml:space="preserve"> </w:t>
      </w:r>
      <w:r w:rsidRPr="001E0E42">
        <w:t>%.</w:t>
      </w:r>
    </w:p>
    <w:p w:rsidR="006B7C7A" w:rsidRDefault="00832A62" w:rsidP="001325C6">
      <w:pPr>
        <w:sectPr w:rsidR="006B7C7A" w:rsidSect="006B7C7A">
          <w:headerReference w:type="default" r:id="rId8"/>
          <w:footerReference w:type="default" r:id="rId9"/>
          <w:pgSz w:w="11906" w:h="16838"/>
          <w:pgMar w:top="1843" w:right="1440" w:bottom="2835" w:left="1440" w:header="567" w:footer="708" w:gutter="0"/>
          <w:cols w:space="708"/>
          <w:docGrid w:linePitch="360"/>
        </w:sectPr>
      </w:pPr>
      <m:oMathPara>
        <m:oMath>
          <m:f>
            <m:fPr>
              <m:ctrlPr>
                <w:rPr>
                  <w:rFonts w:ascii="Cambria Math" w:hAnsi="Cambria Math"/>
                  <w:i/>
                </w:rPr>
              </m:ctrlPr>
            </m:fPr>
            <m:num>
              <m:r>
                <w:rPr>
                  <w:rFonts w:ascii="Cambria Math" w:hAnsi="Cambria Math"/>
                </w:rPr>
                <m:t>part</m:t>
              </m:r>
            </m:num>
            <m:den>
              <m:r>
                <w:rPr>
                  <w:rFonts w:ascii="Cambria Math" w:hAnsi="Cambria Math"/>
                </w:rPr>
                <m:t>whole</m:t>
              </m:r>
            </m:den>
          </m:f>
          <m:r>
            <w:rPr>
              <w:rFonts w:ascii="Cambria Math" w:hAnsi="Cambria Math"/>
            </w:rPr>
            <m:t>×100%= %</m:t>
          </m:r>
        </m:oMath>
      </m:oMathPara>
    </w:p>
    <w:p w:rsidR="001E0E42" w:rsidRPr="001E0E42" w:rsidRDefault="001E0E42" w:rsidP="001E0E42">
      <w:bookmarkStart w:id="0" w:name="_Topic_Practice_Test"/>
      <w:bookmarkStart w:id="1" w:name="_Multiple_Choice_practice"/>
      <w:bookmarkStart w:id="2" w:name="_Enzymes_1_Multiple"/>
      <w:bookmarkStart w:id="3" w:name="_Biochemistry_multiple_choice"/>
      <w:bookmarkEnd w:id="0"/>
      <w:bookmarkEnd w:id="1"/>
      <w:bookmarkEnd w:id="2"/>
      <w:bookmarkEnd w:id="3"/>
      <w:r w:rsidRPr="001E0E42">
        <w:lastRenderedPageBreak/>
        <w:t>For example, in a population of 2200 rabbits there are 1000 males and 1200 females. You want to know the percentage that is female</w:t>
      </w:r>
      <w:r w:rsidR="00FB2252">
        <w:t>.</w:t>
      </w:r>
      <w:r w:rsidRPr="001E0E42">
        <w:t xml:space="preserve"> Here 1200 is the </w:t>
      </w:r>
      <w:r w:rsidR="00A5549E">
        <w:t>‘</w:t>
      </w:r>
      <w:r w:rsidRPr="001E0E42">
        <w:t>part</w:t>
      </w:r>
      <w:r w:rsidR="00A5549E">
        <w:t>’</w:t>
      </w:r>
      <w:r w:rsidR="00A5549E" w:rsidRPr="001E0E42">
        <w:t xml:space="preserve"> </w:t>
      </w:r>
      <w:r w:rsidRPr="001E0E42">
        <w:t xml:space="preserve">and 2200 is the </w:t>
      </w:r>
      <w:r w:rsidR="00A5549E">
        <w:t>‘</w:t>
      </w:r>
      <w:r w:rsidRPr="001E0E42">
        <w:t>whole</w:t>
      </w:r>
      <w:r w:rsidR="00A5549E">
        <w:t>’</w:t>
      </w:r>
      <w:r w:rsidRPr="001E0E42">
        <w:t>. So we divide 1200 by 2200, and multiply by 100</w:t>
      </w:r>
      <w:r w:rsidRPr="001E0E42">
        <w:rPr>
          <w:sz w:val="12"/>
          <w:szCs w:val="12"/>
        </w:rPr>
        <w:t xml:space="preserve"> </w:t>
      </w:r>
      <w:r w:rsidRPr="001E0E42">
        <w:t>% to express the answer as a percentage.  The answer is 54.5</w:t>
      </w:r>
      <w:r w:rsidRPr="001E0E42">
        <w:rPr>
          <w:sz w:val="12"/>
          <w:szCs w:val="12"/>
        </w:rPr>
        <w:t xml:space="preserve"> </w:t>
      </w:r>
      <w:r w:rsidRPr="001E0E42">
        <w:t>%.</w:t>
      </w:r>
    </w:p>
    <w:p w:rsidR="001E0E42" w:rsidRPr="001E0E42" w:rsidRDefault="001E0E42" w:rsidP="001E0E42">
      <w:r w:rsidRPr="001E0E42">
        <w:t xml:space="preserve">% female </w:t>
      </w:r>
      <w:r w:rsidRPr="001E0E42">
        <w:sym w:font="Wingdings" w:char="F0E0"/>
      </w:r>
      <w:r w:rsidRPr="001E0E42">
        <w:t xml:space="preserve"> </w:t>
      </w:r>
      <m:oMath>
        <m:f>
          <m:fPr>
            <m:ctrlPr>
              <w:rPr>
                <w:rFonts w:ascii="Cambria Math" w:hAnsi="Cambria Math"/>
                <w:i/>
              </w:rPr>
            </m:ctrlPr>
          </m:fPr>
          <m:num>
            <m:r>
              <w:rPr>
                <w:rFonts w:ascii="Cambria Math" w:hAnsi="Cambria Math"/>
              </w:rPr>
              <m:t>1200</m:t>
            </m:r>
          </m:num>
          <m:den>
            <m:r>
              <w:rPr>
                <w:rFonts w:ascii="Cambria Math" w:hAnsi="Cambria Math"/>
              </w:rPr>
              <m:t>2200</m:t>
            </m:r>
          </m:den>
        </m:f>
        <m:r>
          <w:rPr>
            <w:rFonts w:ascii="Cambria Math" w:hAnsi="Cambria Math"/>
          </w:rPr>
          <m:t>×100</m:t>
        </m:r>
        <m:r>
          <m:rPr>
            <m:sty m:val="p"/>
          </m:rPr>
          <w:rPr>
            <w:rFonts w:ascii="Cambria Math" w:hAnsi="Cambria Math"/>
            <w:sz w:val="12"/>
            <w:szCs w:val="12"/>
          </w:rPr>
          <m:t xml:space="preserve"> </m:t>
        </m:r>
        <m:r>
          <w:rPr>
            <w:rFonts w:ascii="Cambria Math" w:hAnsi="Cambria Math"/>
          </w:rPr>
          <m:t>%=54.5</m:t>
        </m:r>
        <m:r>
          <m:rPr>
            <m:sty m:val="p"/>
          </m:rPr>
          <w:rPr>
            <w:rFonts w:ascii="Cambria Math" w:hAnsi="Cambria Math"/>
            <w:sz w:val="12"/>
            <w:szCs w:val="12"/>
          </w:rPr>
          <m:t xml:space="preserve"> </m:t>
        </m:r>
        <m:r>
          <w:rPr>
            <w:rFonts w:ascii="Cambria Math" w:hAnsi="Cambria Math"/>
          </w:rPr>
          <m:t>%</m:t>
        </m:r>
      </m:oMath>
    </w:p>
    <w:p w:rsidR="001E0E42" w:rsidRPr="001E0E42" w:rsidRDefault="001E0E42" w:rsidP="001E0E42">
      <w:r w:rsidRPr="001E0E42">
        <w:t>Now we are going to look at percentage change</w:t>
      </w:r>
    </w:p>
    <w:p w:rsidR="001E0E42" w:rsidRPr="001E0E42" w:rsidRDefault="001E0E42" w:rsidP="001E0E42">
      <w:r w:rsidRPr="001E0E42">
        <w:t>Percentage change is a useful calculation to compare values and determine how much a quantity has increased or decreased by.</w:t>
      </w:r>
    </w:p>
    <w:p w:rsidR="001E0E42" w:rsidRPr="001E0E42" w:rsidRDefault="001E0E42" w:rsidP="001E0E42">
      <w:r w:rsidRPr="001E0E42">
        <w:t>In percentage change the ‘part’ is the increase and the ‘whole’ is the original quantity.</w:t>
      </w:r>
    </w:p>
    <w:p w:rsidR="001E0E42" w:rsidRPr="001E0E42" w:rsidRDefault="001E0E42" w:rsidP="001E0E42">
      <w:r w:rsidRPr="001E0E42">
        <w:t>For example, you might subtract the initial mass from the final mass to find the increase. Then divide this by the initial mass. This is then multiplied by 100 to give the answer as a percentage. Doing it this way, you have to keep an eye on whether it is an increase or a decrease and make it clear in your answer.</w:t>
      </w:r>
    </w:p>
    <w:p w:rsidR="001E0E42" w:rsidRPr="001E0E42" w:rsidRDefault="001E0E42" w:rsidP="001E0E42">
      <w:r w:rsidRPr="001E0E42">
        <w:t>For example, if the initial mass of some cellular tissue in an osmosis investigation is 5.6 g and after a day it is 4.7</w:t>
      </w:r>
      <w:r w:rsidRPr="001E0E42">
        <w:rPr>
          <w:sz w:val="12"/>
          <w:szCs w:val="12"/>
        </w:rPr>
        <w:t xml:space="preserve"> </w:t>
      </w:r>
      <w:r w:rsidRPr="001E0E42">
        <w:t>g.  You might want to find out the percentage change.</w:t>
      </w:r>
    </w:p>
    <w:p w:rsidR="001E0E42" w:rsidRPr="001E0E42" w:rsidRDefault="001E0E42" w:rsidP="001E0E42">
      <w:r w:rsidRPr="001E0E42">
        <w:t>The percentage change is 4.7 – 5.6 divided by 5.6 and then multiplied by 100% which gives you a percentage change of -16</w:t>
      </w:r>
      <w:r w:rsidRPr="001E0E42">
        <w:rPr>
          <w:sz w:val="12"/>
          <w:szCs w:val="12"/>
        </w:rPr>
        <w:t xml:space="preserve"> </w:t>
      </w:r>
      <w:r w:rsidRPr="001E0E42">
        <w:t>%</w:t>
      </w:r>
      <w:r w:rsidR="00B9713B">
        <w:t>. Y</w:t>
      </w:r>
      <w:r w:rsidRPr="001E0E42">
        <w:t>ou could refer to this as a 16% decrease.</w:t>
      </w:r>
    </w:p>
    <w:p w:rsidR="001E0E42" w:rsidRPr="001E0E42" w:rsidRDefault="00832A62" w:rsidP="001E0E42">
      <m:oMathPara>
        <m:oMath>
          <m:f>
            <m:fPr>
              <m:ctrlPr>
                <w:rPr>
                  <w:rFonts w:ascii="Cambria Math" w:hAnsi="Cambria Math"/>
                  <w:i/>
                </w:rPr>
              </m:ctrlPr>
            </m:fPr>
            <m:num>
              <m:r>
                <w:rPr>
                  <w:rFonts w:ascii="Cambria Math" w:hAnsi="Cambria Math"/>
                </w:rPr>
                <m:t>4.7- 5.6</m:t>
              </m:r>
            </m:num>
            <m:den>
              <m:r>
                <w:rPr>
                  <w:rFonts w:ascii="Cambria Math" w:hAnsi="Cambria Math"/>
                </w:rPr>
                <m:t>5.6</m:t>
              </m:r>
            </m:den>
          </m:f>
          <m:r>
            <w:rPr>
              <w:rFonts w:ascii="Cambria Math" w:hAnsi="Cambria Math"/>
            </w:rPr>
            <m:t>=-0.16</m:t>
          </m:r>
        </m:oMath>
      </m:oMathPara>
    </w:p>
    <w:p w:rsidR="001E0E42" w:rsidRPr="001E0E42" w:rsidRDefault="001E0E42" w:rsidP="001E0E42">
      <w:r w:rsidRPr="001E0E42">
        <w:t>0.16 x 100 = - 16</w:t>
      </w:r>
      <w:r w:rsidRPr="001E0E42">
        <w:rPr>
          <w:sz w:val="12"/>
          <w:szCs w:val="12"/>
        </w:rPr>
        <w:t xml:space="preserve"> </w:t>
      </w:r>
      <w:r w:rsidRPr="001E0E42">
        <w:t>% = 16</w:t>
      </w:r>
      <w:r w:rsidRPr="001E0E42">
        <w:rPr>
          <w:sz w:val="12"/>
          <w:szCs w:val="12"/>
        </w:rPr>
        <w:t xml:space="preserve"> </w:t>
      </w:r>
      <w:r w:rsidRPr="001E0E42">
        <w:t xml:space="preserve">% decrease </w:t>
      </w:r>
    </w:p>
    <w:p w:rsidR="001E0E42" w:rsidRPr="001E0E42" w:rsidRDefault="001E0E42" w:rsidP="001E0E42">
      <w:r w:rsidRPr="001E0E42">
        <w:t>Another way to calculate percentage change uses the idea of a multiplier.</w:t>
      </w:r>
    </w:p>
    <w:p w:rsidR="001E0E42" w:rsidRPr="001E0E42" w:rsidRDefault="001E0E42" w:rsidP="001E0E42">
      <w:r w:rsidRPr="001E0E42">
        <w:t xml:space="preserve">Percentage change is calculated using this formula: </w:t>
      </w:r>
    </w:p>
    <w:p w:rsidR="001E0E42" w:rsidRPr="001E0E42" w:rsidRDefault="001E0E42" w:rsidP="001E0E42">
      <w:r w:rsidRPr="001E0E42">
        <w:t xml:space="preserve">The original quantity times a multiplier equals the new quantity </w:t>
      </w:r>
    </w:p>
    <w:p w:rsidR="001E0E42" w:rsidRPr="001E0E42" w:rsidRDefault="001E0E42" w:rsidP="001E0E42">
      <w:r w:rsidRPr="001E0E42">
        <w:t>The key point to remember is that a multiplier of 1 represents a change of 0</w:t>
      </w:r>
      <w:r w:rsidRPr="001E0E42">
        <w:rPr>
          <w:sz w:val="12"/>
          <w:szCs w:val="12"/>
        </w:rPr>
        <w:t xml:space="preserve"> </w:t>
      </w:r>
      <w:r w:rsidRPr="001E0E42">
        <w:t>%, because if you substitute 1 for the multiplier in the equation, then the Original quantity equals the new quantity</w:t>
      </w:r>
    </w:p>
    <w:p w:rsidR="001E0E42" w:rsidRPr="001E0E42" w:rsidRDefault="001E0E42" w:rsidP="001E0E42">
      <w:r w:rsidRPr="001E0E42">
        <w:t>The difference between the multiplier and 1, multiplied by 100</w:t>
      </w:r>
      <w:r w:rsidRPr="001E0E42">
        <w:rPr>
          <w:sz w:val="12"/>
          <w:szCs w:val="12"/>
        </w:rPr>
        <w:t xml:space="preserve"> </w:t>
      </w:r>
      <w:r w:rsidRPr="001E0E42">
        <w:t xml:space="preserve">%, is the % change. </w:t>
      </w:r>
    </w:p>
    <w:p w:rsidR="001E0E42" w:rsidRPr="001E0E42" w:rsidRDefault="001E0E42" w:rsidP="001E0E42">
      <w:r w:rsidRPr="001E0E42">
        <w:t>So a multiplier of 1.43 represents an increase of 43</w:t>
      </w:r>
      <w:r w:rsidRPr="001E0E42">
        <w:rPr>
          <w:sz w:val="12"/>
          <w:szCs w:val="12"/>
        </w:rPr>
        <w:t xml:space="preserve"> </w:t>
      </w:r>
      <w:r w:rsidRPr="001E0E42">
        <w:t xml:space="preserve">% because 1.43 minus </w:t>
      </w:r>
      <w:proofErr w:type="gramStart"/>
      <w:r w:rsidRPr="001E0E42">
        <w:t>one,</w:t>
      </w:r>
      <w:proofErr w:type="gramEnd"/>
      <w:r w:rsidRPr="001E0E42">
        <w:t xml:space="preserve"> multiplied by 100</w:t>
      </w:r>
      <w:r w:rsidRPr="001E0E42">
        <w:rPr>
          <w:sz w:val="12"/>
          <w:szCs w:val="12"/>
        </w:rPr>
        <w:t xml:space="preserve"> </w:t>
      </w:r>
      <w:r w:rsidRPr="001E0E42">
        <w:t>% equals 43</w:t>
      </w:r>
      <w:r w:rsidRPr="001E0E42">
        <w:rPr>
          <w:sz w:val="12"/>
          <w:szCs w:val="12"/>
        </w:rPr>
        <w:t xml:space="preserve"> </w:t>
      </w:r>
      <w:r w:rsidRPr="001E0E42">
        <w:t>%, whilst a multiplier of 0.83 represents a decrease of 17</w:t>
      </w:r>
      <w:r w:rsidRPr="001E0E42">
        <w:rPr>
          <w:sz w:val="12"/>
          <w:szCs w:val="12"/>
        </w:rPr>
        <w:t xml:space="preserve"> </w:t>
      </w:r>
      <w:r w:rsidRPr="001E0E42">
        <w:t>% because 1 minus 0.83 = 0.17, multiplied by 100</w:t>
      </w:r>
      <w:r w:rsidRPr="001E0E42">
        <w:rPr>
          <w:sz w:val="12"/>
          <w:szCs w:val="12"/>
        </w:rPr>
        <w:t xml:space="preserve"> </w:t>
      </w:r>
      <w:r w:rsidRPr="001E0E42">
        <w:t>% equals 17</w:t>
      </w:r>
      <w:r w:rsidRPr="001E0E42">
        <w:rPr>
          <w:sz w:val="12"/>
          <w:szCs w:val="12"/>
        </w:rPr>
        <w:t xml:space="preserve"> </w:t>
      </w:r>
      <w:r w:rsidRPr="001E0E42">
        <w:t>%.</w:t>
      </w:r>
    </w:p>
    <w:p w:rsidR="001E0E42" w:rsidRPr="001E0E42" w:rsidRDefault="001E0E42" w:rsidP="001E0E42">
      <w:r w:rsidRPr="001E0E42">
        <w:t>Let’s return to the previous example where the initial mass of some cellular tissue in an osmosis investigation is 5.6 g and after a day it is 4.7 g</w:t>
      </w:r>
    </w:p>
    <w:p w:rsidR="001E0E42" w:rsidRPr="001E0E42" w:rsidRDefault="001E0E42" w:rsidP="001E0E42"/>
    <w:p w:rsidR="001E0E42" w:rsidRPr="001E0E42" w:rsidRDefault="001E0E42" w:rsidP="001E0E42">
      <w:r w:rsidRPr="001E0E42">
        <w:lastRenderedPageBreak/>
        <w:t>Then to work out the percentage change we have to work out the value of the multiplier:</w:t>
      </w:r>
    </w:p>
    <w:p w:rsidR="001E0E42" w:rsidRPr="001E0E42" w:rsidRDefault="001E0E42" w:rsidP="001E0E42">
      <w:r w:rsidRPr="001E0E42">
        <w:t>The initial mass is 5.6</w:t>
      </w:r>
      <w:r w:rsidRPr="001E0E42">
        <w:rPr>
          <w:sz w:val="12"/>
          <w:szCs w:val="12"/>
        </w:rPr>
        <w:t xml:space="preserve"> </w:t>
      </w:r>
      <w:proofErr w:type="gramStart"/>
      <w:r w:rsidRPr="001E0E42">
        <w:t>g,</w:t>
      </w:r>
      <w:proofErr w:type="gramEnd"/>
      <w:r w:rsidRPr="001E0E42">
        <w:t xml:space="preserve"> the final mass is 4.7</w:t>
      </w:r>
      <w:r w:rsidRPr="001E0E42">
        <w:rPr>
          <w:sz w:val="12"/>
          <w:szCs w:val="12"/>
        </w:rPr>
        <w:t xml:space="preserve"> </w:t>
      </w:r>
      <w:r w:rsidRPr="001E0E42">
        <w:t xml:space="preserve">g.   </w:t>
      </w:r>
    </w:p>
    <w:p w:rsidR="001E0E42" w:rsidRPr="001E0E42" w:rsidRDefault="001E0E42" w:rsidP="001E0E42">
      <w:r w:rsidRPr="001E0E42">
        <w:t xml:space="preserve">Remember that the original quantity times the multiplier equals the new quantity.  </w:t>
      </w:r>
    </w:p>
    <w:p w:rsidR="001E0E42" w:rsidRPr="001E0E42" w:rsidRDefault="001E0E42" w:rsidP="001E0E42">
      <w:r w:rsidRPr="001E0E42">
        <w:t xml:space="preserve">Rearranging this equation to calculate the multiplier, gives you the new quantity divided by the original quantity, which is 4.7 divided by 5.6, which is 0.84.  </w:t>
      </w:r>
    </w:p>
    <w:p w:rsidR="001E0E42" w:rsidRPr="001E0E42" w:rsidRDefault="001E0E42" w:rsidP="001E0E42">
      <w:r w:rsidRPr="001E0E42">
        <w:t>Initial mass = 5.6</w:t>
      </w:r>
      <w:r w:rsidRPr="001E0E42">
        <w:rPr>
          <w:sz w:val="12"/>
          <w:szCs w:val="12"/>
        </w:rPr>
        <w:t xml:space="preserve"> </w:t>
      </w:r>
      <w:r w:rsidRPr="001E0E42">
        <w:t>g, Final mass = 4.7</w:t>
      </w:r>
      <w:r w:rsidRPr="001E0E42">
        <w:rPr>
          <w:sz w:val="12"/>
          <w:szCs w:val="12"/>
        </w:rPr>
        <w:t xml:space="preserve"> </w:t>
      </w:r>
      <w:r w:rsidRPr="001E0E42">
        <w:t>g</w:t>
      </w:r>
    </w:p>
    <w:p w:rsidR="001E0E42" w:rsidRPr="001E0E42" w:rsidRDefault="001E0E42" w:rsidP="001E0E42">
      <w:r w:rsidRPr="001E0E42">
        <w:t xml:space="preserve">Original quantity x Multiplier = New Quantity </w:t>
      </w:r>
    </w:p>
    <w:p w:rsidR="001E0E42" w:rsidRPr="001E0E42" w:rsidRDefault="001E0E42" w:rsidP="001E0E42">
      <m:oMathPara>
        <m:oMathParaPr>
          <m:jc m:val="left"/>
        </m:oMathParaPr>
        <m:oMath>
          <m:r>
            <w:rPr>
              <w:rFonts w:ascii="Cambria Math" w:hAnsi="Cambria Math"/>
            </w:rPr>
            <m:t>5.6×Multiplier=4.7</m:t>
          </m:r>
        </m:oMath>
      </m:oMathPara>
    </w:p>
    <w:p w:rsidR="001E0E42" w:rsidRPr="001E0E42" w:rsidRDefault="001E0E42" w:rsidP="001E0E42">
      <m:oMathPara>
        <m:oMathParaPr>
          <m:jc m:val="left"/>
        </m:oMathParaPr>
        <m:oMath>
          <m:r>
            <w:rPr>
              <w:rFonts w:ascii="Cambria Math" w:hAnsi="Cambria Math"/>
            </w:rPr>
            <m:t>Multiplier=</m:t>
          </m:r>
          <m:f>
            <m:fPr>
              <m:ctrlPr>
                <w:rPr>
                  <w:rFonts w:ascii="Cambria Math" w:hAnsi="Cambria Math"/>
                  <w:i/>
                </w:rPr>
              </m:ctrlPr>
            </m:fPr>
            <m:num>
              <m:r>
                <w:rPr>
                  <w:rFonts w:ascii="Cambria Math" w:hAnsi="Cambria Math"/>
                </w:rPr>
                <m:t>4.7</m:t>
              </m:r>
            </m:num>
            <m:den>
              <m:r>
                <w:rPr>
                  <w:rFonts w:ascii="Cambria Math" w:hAnsi="Cambria Math"/>
                </w:rPr>
                <m:t>5.6</m:t>
              </m:r>
            </m:den>
          </m:f>
          <m:r>
            <w:rPr>
              <w:rFonts w:ascii="Cambria Math" w:hAnsi="Cambria Math"/>
            </w:rPr>
            <m:t>=0.84</m:t>
          </m:r>
        </m:oMath>
      </m:oMathPara>
    </w:p>
    <w:p w:rsidR="001E0E42" w:rsidRPr="001E0E42" w:rsidRDefault="001E0E42" w:rsidP="001E0E42">
      <w:r w:rsidRPr="001E0E42">
        <w:t>This represents a decrease of 1 - 0.84 which equals 0.16. To express this as a percentage you need to multiply by 100</w:t>
      </w:r>
      <w:r w:rsidRPr="001E0E42">
        <w:rPr>
          <w:sz w:val="12"/>
          <w:szCs w:val="12"/>
        </w:rPr>
        <w:t xml:space="preserve"> </w:t>
      </w:r>
      <w:r w:rsidRPr="001E0E42">
        <w:t>% which gives you a 16</w:t>
      </w:r>
      <w:r w:rsidRPr="001E0E42">
        <w:rPr>
          <w:sz w:val="12"/>
          <w:szCs w:val="12"/>
        </w:rPr>
        <w:t xml:space="preserve"> </w:t>
      </w:r>
      <w:r w:rsidRPr="001E0E42">
        <w:t>% decrease.</w:t>
      </w:r>
    </w:p>
    <w:p w:rsidR="001E0E42" w:rsidRPr="001E0E42" w:rsidRDefault="001E0E42" w:rsidP="001E0E42">
      <w:r w:rsidRPr="001E0E42">
        <w:t>It doesn’t matter which method you use as long as you understand the principles behind the method you adopt.</w:t>
      </w:r>
    </w:p>
    <w:p w:rsidR="001E0E42" w:rsidRPr="001E0E42" w:rsidRDefault="001E0E42" w:rsidP="001E0E42">
      <w:pPr>
        <w:pStyle w:val="Heading3"/>
      </w:pPr>
      <w:r w:rsidRPr="001E0E42">
        <w:t>Percentage yield</w:t>
      </w:r>
    </w:p>
    <w:p w:rsidR="001E0E42" w:rsidRPr="001E0E42" w:rsidRDefault="001E0E42" w:rsidP="001E0E42">
      <w:r w:rsidRPr="001E0E42">
        <w:t xml:space="preserve">The percentage yield is a way of looking at the limitations of a process. </w:t>
      </w:r>
    </w:p>
    <w:p w:rsidR="001E0E42" w:rsidRPr="001E0E42" w:rsidRDefault="001E0E42" w:rsidP="001E0E42">
      <w:r w:rsidRPr="001E0E42">
        <w:t xml:space="preserve">You can work out mathematically what goes in and what comes out, but there are many steps in a biological process and the actual yield is rarely the same as the theoretical yield.  </w:t>
      </w:r>
    </w:p>
    <w:p w:rsidR="001E0E42" w:rsidRPr="001E0E42" w:rsidRDefault="001E0E42" w:rsidP="001E0E42">
      <w:r w:rsidRPr="001E0E42">
        <w:t>The percentage yield is a measure of the limitations of a biological or chemical process. You are essentially saying what percentage of the theoretical yield am I ending up with at the end of this process?</w:t>
      </w:r>
    </w:p>
    <w:p w:rsidR="001E0E42" w:rsidRPr="001E0E42" w:rsidRDefault="001E0E42" w:rsidP="001E0E42">
      <w:r w:rsidRPr="001E0E42">
        <w:t>One area where percentage yield is relevant is in scientific experiments where yield can be limited by the amount of a reagent that is present.  In these situations it is important to be able to work out how efficient a reaction is under certain conditions. This is where it helps to calculate a percentage yield.</w:t>
      </w:r>
    </w:p>
    <w:p w:rsidR="001E0E42" w:rsidRPr="001E0E42" w:rsidRDefault="001E0E42" w:rsidP="001E0E42">
      <w:r w:rsidRPr="001E0E42">
        <w:t>For percentage yield calculations, the actual yield – the amount of product actually obtained in a chemical reaction – is divided by the theoretical yield – the amount of product that could possibly be produced according to the starting amount of the limiting reagent. To convert this into a percentage you then multiply by 100</w:t>
      </w:r>
      <w:r w:rsidRPr="001E0E42">
        <w:rPr>
          <w:sz w:val="12"/>
          <w:szCs w:val="12"/>
        </w:rPr>
        <w:t xml:space="preserve"> </w:t>
      </w:r>
      <w:r w:rsidRPr="001E0E42">
        <w:t>%.</w:t>
      </w:r>
    </w:p>
    <w:p w:rsidR="001E0E42" w:rsidRPr="001E0E42" w:rsidRDefault="001E0E42" w:rsidP="001E0E42">
      <w:r w:rsidRPr="001E0E42">
        <w:t>For example, imagine a scenario where you were producing insulin from genetically modified bacteria.  You calculated that with everything you started with at the beginning you had a theoretical yield of 120 mg of insulin.  However, when you carried out the procedure you only ended up with 90</w:t>
      </w:r>
      <w:r w:rsidRPr="001E0E42">
        <w:rPr>
          <w:sz w:val="12"/>
          <w:szCs w:val="12"/>
        </w:rPr>
        <w:t xml:space="preserve"> </w:t>
      </w:r>
      <w:r w:rsidRPr="001E0E42">
        <w:t xml:space="preserve">mg – the actual yield. </w:t>
      </w:r>
    </w:p>
    <w:p w:rsidR="001E0E42" w:rsidRPr="001E0E42" w:rsidRDefault="001E0E42" w:rsidP="001E0E42"/>
    <w:p w:rsidR="001E0E42" w:rsidRPr="001E0E42" w:rsidRDefault="001E0E42" w:rsidP="001E0E42">
      <w:r w:rsidRPr="001E0E42">
        <w:lastRenderedPageBreak/>
        <w:t>The percentage yield is the actual yield, 90</w:t>
      </w:r>
      <w:r w:rsidRPr="001E0E42">
        <w:rPr>
          <w:sz w:val="12"/>
          <w:szCs w:val="12"/>
        </w:rPr>
        <w:t xml:space="preserve"> </w:t>
      </w:r>
      <w:r w:rsidRPr="001E0E42">
        <w:t>mg, divided by the theoretical yield, 120</w:t>
      </w:r>
      <w:r w:rsidRPr="001E0E42">
        <w:rPr>
          <w:sz w:val="12"/>
          <w:szCs w:val="12"/>
        </w:rPr>
        <w:t xml:space="preserve"> </w:t>
      </w:r>
      <w:r w:rsidRPr="001E0E42">
        <w:t>mg, multiplied by 100</w:t>
      </w:r>
      <w:r w:rsidRPr="001E0E42">
        <w:rPr>
          <w:sz w:val="12"/>
          <w:szCs w:val="12"/>
        </w:rPr>
        <w:t xml:space="preserve"> </w:t>
      </w:r>
      <w:r w:rsidRPr="001E0E42">
        <w:t>%, which equals 75</w:t>
      </w:r>
      <w:r w:rsidRPr="001E0E42">
        <w:rPr>
          <w:sz w:val="12"/>
          <w:szCs w:val="12"/>
        </w:rPr>
        <w:t xml:space="preserve"> </w:t>
      </w:r>
      <w:r w:rsidRPr="001E0E42">
        <w:t>%</w:t>
      </w:r>
    </w:p>
    <w:p w:rsidR="001E0E42" w:rsidRPr="001E0E42" w:rsidRDefault="001E0E42" w:rsidP="001E0E42">
      <w:r w:rsidRPr="001E0E42">
        <w:t>In a big manufacturing process these calculations are very important as getting the highest possible percentage yield might be the difference between a process being financially viable or not.</w:t>
      </w:r>
    </w:p>
    <w:p w:rsidR="001E0E42" w:rsidRPr="001E0E42" w:rsidRDefault="001E0E42" w:rsidP="001E0E42">
      <w:pPr>
        <w:pStyle w:val="Heading3"/>
      </w:pPr>
      <w:r w:rsidRPr="001E0E42">
        <w:t xml:space="preserve">Ratio  </w:t>
      </w:r>
    </w:p>
    <w:p w:rsidR="001E0E42" w:rsidRPr="001E0E42" w:rsidRDefault="001E0E42" w:rsidP="001E0E42">
      <w:r w:rsidRPr="001E0E42">
        <w:t xml:space="preserve">A ratio is a relationship between two numbers and is used to compare values, with the quantities being in direct proportion. </w:t>
      </w:r>
    </w:p>
    <w:p w:rsidR="001E0E42" w:rsidRPr="001E0E42" w:rsidRDefault="001E0E42" w:rsidP="001E0E42">
      <w:r w:rsidRPr="001E0E42">
        <w:t xml:space="preserve">When presenting the ratio of one quantity to another it is reported in the form </w:t>
      </w:r>
      <w:proofErr w:type="gramStart"/>
      <w:r w:rsidRPr="001E0E42">
        <w:rPr>
          <w:i/>
        </w:rPr>
        <w:t xml:space="preserve">x </w:t>
      </w:r>
      <w:r w:rsidRPr="001E0E42">
        <w:t>:</w:t>
      </w:r>
      <w:proofErr w:type="gramEnd"/>
      <w:r w:rsidRPr="001E0E42">
        <w:t xml:space="preserve"> 1,</w:t>
      </w:r>
    </w:p>
    <w:p w:rsidR="001E0E42" w:rsidRPr="001E0E42" w:rsidRDefault="001E0E42" w:rsidP="001E0E42">
      <w:proofErr w:type="gramStart"/>
      <w:r w:rsidRPr="001E0E42">
        <w:t>x</w:t>
      </w:r>
      <w:proofErr w:type="gramEnd"/>
      <w:r w:rsidRPr="001E0E42">
        <w:t xml:space="preserve"> is found by dividing the first quantity by the second. So, expressing 40 to 5 as a ratio, 40 would be divided by 5.  This would be expressed as a ratio of 8 to 1.</w:t>
      </w:r>
    </w:p>
    <w:p w:rsidR="001E0E42" w:rsidRPr="001E0E42" w:rsidRDefault="001E0E42" w:rsidP="001E0E42">
      <m:oMath>
        <m:r>
          <w:rPr>
            <w:rFonts w:ascii="Cambria Math" w:hAnsi="Cambria Math"/>
          </w:rPr>
          <m:t>x=</m:t>
        </m:r>
        <m:f>
          <m:fPr>
            <m:ctrlPr>
              <w:rPr>
                <w:rFonts w:ascii="Cambria Math" w:hAnsi="Cambria Math"/>
                <w:i/>
              </w:rPr>
            </m:ctrlPr>
          </m:fPr>
          <m:num>
            <m:r>
              <w:rPr>
                <w:rFonts w:ascii="Cambria Math" w:hAnsi="Cambria Math"/>
              </w:rPr>
              <m:t>40</m:t>
            </m:r>
          </m:num>
          <m:den>
            <m:r>
              <w:rPr>
                <w:rFonts w:ascii="Cambria Math" w:hAnsi="Cambria Math"/>
              </w:rPr>
              <m:t>5</m:t>
            </m:r>
          </m:den>
        </m:f>
        <m:r>
          <w:rPr>
            <w:rFonts w:ascii="Cambria Math" w:hAnsi="Cambria Math"/>
          </w:rPr>
          <m:t>=8</m:t>
        </m:r>
      </m:oMath>
      <w:r w:rsidRPr="001E0E42">
        <w:t xml:space="preserve">  </w:t>
      </w:r>
      <w:r w:rsidRPr="001E0E42">
        <w:tab/>
      </w:r>
      <w:r w:rsidRPr="001E0E42">
        <w:tab/>
      </w:r>
      <w:proofErr w:type="gramStart"/>
      <w:r w:rsidRPr="001E0E42">
        <w:t>ratio</w:t>
      </w:r>
      <w:proofErr w:type="gramEnd"/>
      <w:r w:rsidRPr="001E0E42">
        <w:t xml:space="preserve"> = 8:1</w:t>
      </w:r>
    </w:p>
    <w:p w:rsidR="001E0E42" w:rsidRPr="001E0E42" w:rsidRDefault="001E0E42" w:rsidP="001E0E42">
      <w:r w:rsidRPr="001E0E42">
        <w:t>Surface area to volume ratio is important in understanding processes such as gas exchange, heat loss and diffusion rates. Surface area to volume ratio is affected by size and shape. So keeping the volume of an object the same, but changing its shape, changes its surface area to volume ratio. Keeping the shape the same, such as a sphere, but changing the volume will also affect its surface area to volume ratio.</w:t>
      </w:r>
    </w:p>
    <w:p w:rsidR="001E0E42" w:rsidRPr="001E0E42" w:rsidRDefault="001E0E42" w:rsidP="001E0E42">
      <w:r w:rsidRPr="001E0E42">
        <w:t>The surface area to volume ratio is calculated by dividing the surface area by the volume.</w:t>
      </w:r>
    </w:p>
    <w:p w:rsidR="001E0E42" w:rsidRPr="001E0E42" w:rsidRDefault="001E0E42" w:rsidP="001E0E42">
      <w:r w:rsidRPr="001E0E42">
        <w:t xml:space="preserve">For example, a cube has sides of 1 cm. The total surface area is the sum of the areas of each side. A cube has 6 equal </w:t>
      </w:r>
      <w:proofErr w:type="gramStart"/>
      <w:r w:rsidRPr="001E0E42">
        <w:t>sides,</w:t>
      </w:r>
      <w:proofErr w:type="gramEnd"/>
      <w:r w:rsidRPr="001E0E42">
        <w:t xml:space="preserve"> each side of this cube has an area of 1</w:t>
      </w:r>
      <w:r w:rsidRPr="001E0E42">
        <w:rPr>
          <w:sz w:val="12"/>
          <w:szCs w:val="12"/>
        </w:rPr>
        <w:t xml:space="preserve"> </w:t>
      </w:r>
      <w:r w:rsidRPr="001E0E42">
        <w:t>cm</w:t>
      </w:r>
      <w:r w:rsidRPr="001E0E42">
        <w:rPr>
          <w:vertAlign w:val="superscript"/>
        </w:rPr>
        <w:t>2</w:t>
      </w:r>
      <w:r w:rsidRPr="001E0E42">
        <w:t>.  Therefore the surface area is 1</w:t>
      </w:r>
      <w:r w:rsidRPr="001E0E42">
        <w:rPr>
          <w:sz w:val="12"/>
          <w:szCs w:val="12"/>
        </w:rPr>
        <w:t xml:space="preserve"> </w:t>
      </w:r>
      <w:r w:rsidRPr="001E0E42">
        <w:t>cm</w:t>
      </w:r>
      <w:r w:rsidRPr="001E0E42">
        <w:rPr>
          <w:vertAlign w:val="superscript"/>
        </w:rPr>
        <w:t>2</w:t>
      </w:r>
      <w:r w:rsidRPr="001E0E42">
        <w:t>, multiplied by 6. So the surface area of the cube is 6</w:t>
      </w:r>
      <w:r w:rsidRPr="001E0E42">
        <w:rPr>
          <w:sz w:val="12"/>
          <w:szCs w:val="12"/>
        </w:rPr>
        <w:t xml:space="preserve"> </w:t>
      </w:r>
      <w:r w:rsidRPr="001E0E42">
        <w:t>cm</w:t>
      </w:r>
      <w:r w:rsidRPr="001E0E42">
        <w:rPr>
          <w:vertAlign w:val="superscript"/>
        </w:rPr>
        <w:t>2</w:t>
      </w:r>
      <w:r w:rsidRPr="001E0E42">
        <w:t xml:space="preserve">. </w:t>
      </w:r>
    </w:p>
    <w:p w:rsidR="001E0E42" w:rsidRPr="001E0E42" w:rsidRDefault="001E0E42" w:rsidP="001E0E42">
      <w:pPr>
        <w:rPr>
          <w:vertAlign w:val="superscript"/>
        </w:rPr>
      </w:pPr>
      <w:r w:rsidRPr="001E0E42">
        <w:t xml:space="preserve">The volume of the cube is calculated by multiplying the length of each side: </w:t>
      </w:r>
      <w:r>
        <w:br/>
      </w:r>
      <w:r w:rsidRPr="001E0E42">
        <w:t>1</w:t>
      </w:r>
      <w:r w:rsidRPr="001E0E42">
        <w:rPr>
          <w:sz w:val="12"/>
          <w:szCs w:val="12"/>
        </w:rPr>
        <w:t xml:space="preserve"> </w:t>
      </w:r>
      <w:r w:rsidRPr="001E0E42">
        <w:t>cm x 1</w:t>
      </w:r>
      <w:r w:rsidRPr="001E0E42">
        <w:rPr>
          <w:sz w:val="12"/>
          <w:szCs w:val="12"/>
        </w:rPr>
        <w:t xml:space="preserve"> </w:t>
      </w:r>
      <w:r w:rsidRPr="001E0E42">
        <w:t>cm x 1</w:t>
      </w:r>
      <w:r w:rsidRPr="001E0E42">
        <w:rPr>
          <w:sz w:val="12"/>
          <w:szCs w:val="12"/>
        </w:rPr>
        <w:t xml:space="preserve"> </w:t>
      </w:r>
      <w:r w:rsidRPr="001E0E42">
        <w:t>cm = 1</w:t>
      </w:r>
      <w:r w:rsidRPr="001E0E42">
        <w:rPr>
          <w:sz w:val="12"/>
          <w:szCs w:val="12"/>
        </w:rPr>
        <w:t xml:space="preserve"> </w:t>
      </w:r>
      <w:r w:rsidRPr="001E0E42">
        <w:t>cm</w:t>
      </w:r>
      <w:r w:rsidRPr="001E0E42">
        <w:rPr>
          <w:vertAlign w:val="superscript"/>
        </w:rPr>
        <w:t>3</w:t>
      </w:r>
    </w:p>
    <w:p w:rsidR="001E0E42" w:rsidRPr="001E0E42" w:rsidRDefault="001E0E42" w:rsidP="001E0E42">
      <w:r w:rsidRPr="001E0E42">
        <w:t xml:space="preserve">The surface area to volume ratio is 6 divided by 1 which equals 6.  Note that ratios have no units. </w:t>
      </w:r>
    </w:p>
    <w:p w:rsidR="001E0E42" w:rsidRPr="001E0E42" w:rsidRDefault="001E0E42" w:rsidP="001E0E42">
      <w:r w:rsidRPr="001E0E42">
        <w:t>The ratio is 6:1 but in this scenario it is normally expressed as a single number</w:t>
      </w:r>
    </w:p>
    <w:p w:rsidR="001E0E42" w:rsidRPr="001E0E42" w:rsidRDefault="001E0E42" w:rsidP="001E0E42">
      <w:r w:rsidRPr="001E0E42">
        <w:t xml:space="preserve">Ratios are commonly used in genetics to represent, for example, phenotypic ratios for monohybrid and </w:t>
      </w:r>
      <w:proofErr w:type="spellStart"/>
      <w:r w:rsidRPr="001E0E42">
        <w:t>dihybrid</w:t>
      </w:r>
      <w:proofErr w:type="spellEnd"/>
      <w:r w:rsidRPr="001E0E42">
        <w:t xml:space="preserve"> crosses. </w:t>
      </w:r>
    </w:p>
    <w:p w:rsidR="001E0E42" w:rsidRDefault="001E0E42">
      <w:pPr>
        <w:spacing w:after="0" w:line="240" w:lineRule="auto"/>
      </w:pPr>
      <w:r>
        <w:br w:type="page"/>
      </w:r>
    </w:p>
    <w:p w:rsidR="001E0E42" w:rsidRPr="001E0E42" w:rsidRDefault="001E0E42" w:rsidP="001E0E42">
      <w:r w:rsidRPr="001E0E42">
        <w:lastRenderedPageBreak/>
        <w:t>For example, in a fruit fly genetics experiment the offspring were counted; 78 fruit fly offspring had red eyes and 20 had brown eyes</w:t>
      </w:r>
    </w:p>
    <w:tbl>
      <w:tblPr>
        <w:tblStyle w:val="TableGrid"/>
        <w:tblW w:w="0" w:type="auto"/>
        <w:tblInd w:w="108"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616"/>
        <w:gridCol w:w="2977"/>
      </w:tblGrid>
      <w:tr w:rsidR="001E0E42" w:rsidRPr="001E0E42" w:rsidTr="00D77B7A">
        <w:tc>
          <w:tcPr>
            <w:tcW w:w="2616" w:type="dxa"/>
            <w:tcBorders>
              <w:bottom w:val="single" w:sz="12" w:space="0" w:color="auto"/>
            </w:tcBorders>
            <w:vAlign w:val="center"/>
          </w:tcPr>
          <w:p w:rsidR="001E0E42" w:rsidRPr="001E0E42" w:rsidRDefault="001E0E42" w:rsidP="001E0E42">
            <w:pPr>
              <w:spacing w:before="60" w:after="60"/>
              <w:rPr>
                <w:b/>
              </w:rPr>
            </w:pPr>
            <w:r w:rsidRPr="001E0E42">
              <w:rPr>
                <w:b/>
              </w:rPr>
              <w:t>Phenotype</w:t>
            </w:r>
          </w:p>
        </w:tc>
        <w:tc>
          <w:tcPr>
            <w:tcW w:w="2977" w:type="dxa"/>
            <w:tcBorders>
              <w:bottom w:val="single" w:sz="12" w:space="0" w:color="auto"/>
            </w:tcBorders>
            <w:vAlign w:val="center"/>
          </w:tcPr>
          <w:p w:rsidR="001E0E42" w:rsidRPr="001E0E42" w:rsidRDefault="001E0E42" w:rsidP="00D77B7A">
            <w:pPr>
              <w:spacing w:before="60" w:after="60"/>
              <w:jc w:val="center"/>
              <w:rPr>
                <w:b/>
              </w:rPr>
            </w:pPr>
            <w:r w:rsidRPr="001E0E42">
              <w:rPr>
                <w:b/>
              </w:rPr>
              <w:t>Number of offspring</w:t>
            </w:r>
          </w:p>
        </w:tc>
      </w:tr>
      <w:tr w:rsidR="001E0E42" w:rsidRPr="001E0E42" w:rsidTr="00D77B7A">
        <w:tc>
          <w:tcPr>
            <w:tcW w:w="2616" w:type="dxa"/>
            <w:tcBorders>
              <w:top w:val="single" w:sz="12" w:space="0" w:color="auto"/>
            </w:tcBorders>
            <w:vAlign w:val="center"/>
          </w:tcPr>
          <w:p w:rsidR="001E0E42" w:rsidRPr="001E0E42" w:rsidRDefault="001E0E42" w:rsidP="001E0E42">
            <w:pPr>
              <w:spacing w:before="60" w:after="60"/>
            </w:pPr>
            <w:r w:rsidRPr="001E0E42">
              <w:t>Red eyes</w:t>
            </w:r>
          </w:p>
        </w:tc>
        <w:tc>
          <w:tcPr>
            <w:tcW w:w="2977" w:type="dxa"/>
            <w:tcBorders>
              <w:top w:val="single" w:sz="12" w:space="0" w:color="auto"/>
            </w:tcBorders>
            <w:vAlign w:val="center"/>
          </w:tcPr>
          <w:p w:rsidR="001E0E42" w:rsidRPr="001E0E42" w:rsidRDefault="001E0E42" w:rsidP="00D77B7A">
            <w:pPr>
              <w:spacing w:before="60" w:after="60"/>
              <w:jc w:val="center"/>
            </w:pPr>
            <w:r w:rsidRPr="001E0E42">
              <w:t>78</w:t>
            </w:r>
          </w:p>
        </w:tc>
      </w:tr>
      <w:tr w:rsidR="001E0E42" w:rsidRPr="001E0E42" w:rsidTr="001E0E42">
        <w:tc>
          <w:tcPr>
            <w:tcW w:w="2616" w:type="dxa"/>
            <w:vAlign w:val="center"/>
          </w:tcPr>
          <w:p w:rsidR="001E0E42" w:rsidRPr="001E0E42" w:rsidRDefault="001E0E42" w:rsidP="001E0E42">
            <w:pPr>
              <w:spacing w:before="60" w:after="60"/>
            </w:pPr>
            <w:r w:rsidRPr="001E0E42">
              <w:t>Brown eyes</w:t>
            </w:r>
          </w:p>
        </w:tc>
        <w:tc>
          <w:tcPr>
            <w:tcW w:w="2977" w:type="dxa"/>
            <w:vAlign w:val="center"/>
          </w:tcPr>
          <w:p w:rsidR="001E0E42" w:rsidRPr="001E0E42" w:rsidRDefault="001E0E42" w:rsidP="00D77B7A">
            <w:pPr>
              <w:spacing w:before="60" w:after="60"/>
              <w:jc w:val="center"/>
            </w:pPr>
            <w:r w:rsidRPr="001E0E42">
              <w:t>20</w:t>
            </w:r>
          </w:p>
        </w:tc>
      </w:tr>
    </w:tbl>
    <w:p w:rsidR="001E0E42" w:rsidRPr="001E0E42" w:rsidRDefault="001E0E42" w:rsidP="001E0E42"/>
    <w:p w:rsidR="001E0E42" w:rsidRPr="001E0E42" w:rsidRDefault="001E0E42" w:rsidP="001E0E42">
      <w:r w:rsidRPr="001E0E42">
        <w:t xml:space="preserve">To calculate the ratio of red-eyed flies to brown-eyed flies 78 is divided by 20, which equals 3.9. </w:t>
      </w:r>
    </w:p>
    <w:p w:rsidR="001E0E42" w:rsidRPr="001E0E42" w:rsidRDefault="001E0E42" w:rsidP="001E0E42">
      <w:r w:rsidRPr="001E0E42">
        <w:t>So the ratio of red to brown is 3.9:1</w:t>
      </w:r>
    </w:p>
    <w:p w:rsidR="001E0E42" w:rsidRPr="001E0E42" w:rsidRDefault="001E0E42" w:rsidP="001E0E42">
      <w:r w:rsidRPr="001E0E42">
        <w:t xml:space="preserve">If we now look at the ratio of brown-eyed flies to red-eyed flies, we would divide 20 by 78 which </w:t>
      </w:r>
      <w:proofErr w:type="gramStart"/>
      <w:r w:rsidRPr="001E0E42">
        <w:t>equals</w:t>
      </w:r>
      <w:proofErr w:type="gramEnd"/>
      <w:r w:rsidRPr="001E0E42">
        <w:t xml:space="preserve"> 0.256.  This can be rounded up to 0.3. So the ratio is 0.3:1</w:t>
      </w:r>
    </w:p>
    <w:p w:rsidR="001E0E42" w:rsidRPr="001E0E42" w:rsidRDefault="001E0E42" w:rsidP="001E0E42">
      <w:r w:rsidRPr="001E0E42">
        <w:t>When more than two quantities are all being compared the order in which the ratio is given follows the order in which the different quantities are named and the last one will always be given as 1, with the other numbers all relative to that.</w:t>
      </w:r>
    </w:p>
    <w:p w:rsidR="001E0E42" w:rsidRPr="001E0E42" w:rsidRDefault="001E0E42" w:rsidP="001E0E42">
      <w:r w:rsidRPr="001E0E42">
        <w:t xml:space="preserve">For example, imagine there were four options for eye colour in flies: red, purple, scarlet and white, and the numbers of offspring are 127, 50, 32 and 8 respectively. The respective ratios are all relative to the last number. Therefore you divide each by the last number, which here </w:t>
      </w:r>
      <w:proofErr w:type="gramStart"/>
      <w:r w:rsidRPr="001E0E42">
        <w:t>is</w:t>
      </w:r>
      <w:proofErr w:type="gramEnd"/>
      <w:r w:rsidRPr="001E0E42">
        <w:t xml:space="preserve"> 8.</w:t>
      </w:r>
    </w:p>
    <w:tbl>
      <w:tblPr>
        <w:tblStyle w:val="TableGrid"/>
        <w:tblW w:w="0" w:type="auto"/>
        <w:tblInd w:w="108"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300"/>
        <w:gridCol w:w="1576"/>
        <w:gridCol w:w="1847"/>
        <w:gridCol w:w="1852"/>
        <w:gridCol w:w="1559"/>
      </w:tblGrid>
      <w:tr w:rsidR="001E0E42" w:rsidRPr="001E0E42" w:rsidTr="00D77B7A">
        <w:tc>
          <w:tcPr>
            <w:tcW w:w="2300" w:type="dxa"/>
            <w:tcBorders>
              <w:bottom w:val="single" w:sz="12" w:space="0" w:color="auto"/>
            </w:tcBorders>
            <w:vAlign w:val="center"/>
          </w:tcPr>
          <w:p w:rsidR="001E0E42" w:rsidRPr="001E0E42" w:rsidRDefault="001E0E42" w:rsidP="001E0E42">
            <w:pPr>
              <w:spacing w:before="60"/>
              <w:rPr>
                <w:b/>
              </w:rPr>
            </w:pPr>
            <w:r w:rsidRPr="001E0E42">
              <w:rPr>
                <w:b/>
              </w:rPr>
              <w:t>Phenotype</w:t>
            </w:r>
          </w:p>
        </w:tc>
        <w:tc>
          <w:tcPr>
            <w:tcW w:w="1576" w:type="dxa"/>
            <w:tcBorders>
              <w:bottom w:val="single" w:sz="12" w:space="0" w:color="auto"/>
            </w:tcBorders>
            <w:vAlign w:val="center"/>
          </w:tcPr>
          <w:p w:rsidR="001E0E42" w:rsidRPr="001E0E42" w:rsidRDefault="001E0E42" w:rsidP="00D77B7A">
            <w:pPr>
              <w:spacing w:before="60"/>
              <w:jc w:val="center"/>
              <w:rPr>
                <w:b/>
              </w:rPr>
            </w:pPr>
            <w:r w:rsidRPr="001E0E42">
              <w:rPr>
                <w:b/>
              </w:rPr>
              <w:t>Red eyes</w:t>
            </w:r>
          </w:p>
        </w:tc>
        <w:tc>
          <w:tcPr>
            <w:tcW w:w="1847" w:type="dxa"/>
            <w:tcBorders>
              <w:bottom w:val="single" w:sz="12" w:space="0" w:color="auto"/>
            </w:tcBorders>
            <w:vAlign w:val="center"/>
          </w:tcPr>
          <w:p w:rsidR="001E0E42" w:rsidRPr="001E0E42" w:rsidRDefault="001E0E42" w:rsidP="00D77B7A">
            <w:pPr>
              <w:spacing w:before="60"/>
              <w:jc w:val="center"/>
              <w:rPr>
                <w:b/>
              </w:rPr>
            </w:pPr>
            <w:r w:rsidRPr="001E0E42">
              <w:rPr>
                <w:b/>
              </w:rPr>
              <w:t>Purple eyes</w:t>
            </w:r>
          </w:p>
        </w:tc>
        <w:tc>
          <w:tcPr>
            <w:tcW w:w="1852" w:type="dxa"/>
            <w:tcBorders>
              <w:bottom w:val="single" w:sz="12" w:space="0" w:color="auto"/>
            </w:tcBorders>
            <w:vAlign w:val="center"/>
          </w:tcPr>
          <w:p w:rsidR="001E0E42" w:rsidRPr="001E0E42" w:rsidRDefault="001E0E42" w:rsidP="00D77B7A">
            <w:pPr>
              <w:spacing w:before="60"/>
              <w:jc w:val="center"/>
              <w:rPr>
                <w:b/>
              </w:rPr>
            </w:pPr>
            <w:r w:rsidRPr="001E0E42">
              <w:rPr>
                <w:b/>
              </w:rPr>
              <w:t>Scarlet eyes</w:t>
            </w:r>
          </w:p>
        </w:tc>
        <w:tc>
          <w:tcPr>
            <w:tcW w:w="1559" w:type="dxa"/>
            <w:tcBorders>
              <w:bottom w:val="single" w:sz="12" w:space="0" w:color="auto"/>
            </w:tcBorders>
            <w:vAlign w:val="center"/>
          </w:tcPr>
          <w:p w:rsidR="001E0E42" w:rsidRPr="001E0E42" w:rsidRDefault="001E0E42" w:rsidP="00D77B7A">
            <w:pPr>
              <w:spacing w:before="60"/>
              <w:jc w:val="center"/>
              <w:rPr>
                <w:b/>
              </w:rPr>
            </w:pPr>
            <w:r w:rsidRPr="001E0E42">
              <w:rPr>
                <w:b/>
              </w:rPr>
              <w:t>White eyes</w:t>
            </w:r>
          </w:p>
        </w:tc>
      </w:tr>
      <w:tr w:rsidR="001E0E42" w:rsidRPr="001E0E42" w:rsidTr="00D77B7A">
        <w:tc>
          <w:tcPr>
            <w:tcW w:w="2300" w:type="dxa"/>
            <w:tcBorders>
              <w:top w:val="single" w:sz="12" w:space="0" w:color="auto"/>
            </w:tcBorders>
            <w:vAlign w:val="center"/>
          </w:tcPr>
          <w:p w:rsidR="001E0E42" w:rsidRPr="001E0E42" w:rsidRDefault="001E0E42" w:rsidP="001E0E42">
            <w:pPr>
              <w:spacing w:before="60"/>
              <w:rPr>
                <w:b/>
              </w:rPr>
            </w:pPr>
            <w:r w:rsidRPr="001E0E42">
              <w:rPr>
                <w:b/>
              </w:rPr>
              <w:t>Number of offspring</w:t>
            </w:r>
          </w:p>
        </w:tc>
        <w:tc>
          <w:tcPr>
            <w:tcW w:w="1576" w:type="dxa"/>
            <w:tcBorders>
              <w:top w:val="single" w:sz="12" w:space="0" w:color="auto"/>
            </w:tcBorders>
            <w:vAlign w:val="center"/>
          </w:tcPr>
          <w:p w:rsidR="001E0E42" w:rsidRPr="001E0E42" w:rsidRDefault="001E0E42" w:rsidP="00D77B7A">
            <w:pPr>
              <w:spacing w:before="60"/>
              <w:jc w:val="center"/>
            </w:pPr>
            <w:r w:rsidRPr="001E0E42">
              <w:t>127</w:t>
            </w:r>
          </w:p>
        </w:tc>
        <w:tc>
          <w:tcPr>
            <w:tcW w:w="1847" w:type="dxa"/>
            <w:tcBorders>
              <w:top w:val="single" w:sz="12" w:space="0" w:color="auto"/>
            </w:tcBorders>
            <w:vAlign w:val="center"/>
          </w:tcPr>
          <w:p w:rsidR="001E0E42" w:rsidRPr="001E0E42" w:rsidRDefault="001E0E42" w:rsidP="00D77B7A">
            <w:pPr>
              <w:spacing w:before="60"/>
              <w:jc w:val="center"/>
            </w:pPr>
            <w:r w:rsidRPr="001E0E42">
              <w:t>50</w:t>
            </w:r>
          </w:p>
        </w:tc>
        <w:tc>
          <w:tcPr>
            <w:tcW w:w="1852" w:type="dxa"/>
            <w:tcBorders>
              <w:top w:val="single" w:sz="12" w:space="0" w:color="auto"/>
            </w:tcBorders>
            <w:vAlign w:val="center"/>
          </w:tcPr>
          <w:p w:rsidR="001E0E42" w:rsidRPr="001E0E42" w:rsidRDefault="001E0E42" w:rsidP="00D77B7A">
            <w:pPr>
              <w:spacing w:before="60"/>
              <w:jc w:val="center"/>
            </w:pPr>
            <w:r w:rsidRPr="001E0E42">
              <w:t>32</w:t>
            </w:r>
          </w:p>
        </w:tc>
        <w:tc>
          <w:tcPr>
            <w:tcW w:w="1559" w:type="dxa"/>
            <w:tcBorders>
              <w:top w:val="single" w:sz="12" w:space="0" w:color="auto"/>
            </w:tcBorders>
            <w:vAlign w:val="center"/>
          </w:tcPr>
          <w:p w:rsidR="001E0E42" w:rsidRPr="001E0E42" w:rsidRDefault="001E0E42" w:rsidP="00D77B7A">
            <w:pPr>
              <w:spacing w:before="60"/>
              <w:jc w:val="center"/>
            </w:pPr>
            <w:r w:rsidRPr="001E0E42">
              <w:t>8</w:t>
            </w:r>
          </w:p>
        </w:tc>
      </w:tr>
      <w:tr w:rsidR="001E0E42" w:rsidRPr="001E0E42" w:rsidTr="001E0E42">
        <w:tc>
          <w:tcPr>
            <w:tcW w:w="2300" w:type="dxa"/>
            <w:vAlign w:val="center"/>
          </w:tcPr>
          <w:p w:rsidR="001E0E42" w:rsidRPr="001E0E42" w:rsidRDefault="001E0E42" w:rsidP="001E0E42">
            <w:pPr>
              <w:spacing w:before="60"/>
              <w:rPr>
                <w:b/>
              </w:rPr>
            </w:pPr>
            <w:r w:rsidRPr="001E0E42">
              <w:rPr>
                <w:b/>
              </w:rPr>
              <w:t>Calculating the ratio of offspring</w:t>
            </w:r>
          </w:p>
        </w:tc>
        <w:tc>
          <w:tcPr>
            <w:tcW w:w="1576" w:type="dxa"/>
            <w:vAlign w:val="center"/>
          </w:tcPr>
          <w:p w:rsidR="001E0E42" w:rsidRPr="001E0E42" w:rsidRDefault="00832A62" w:rsidP="00D77B7A">
            <w:pPr>
              <w:spacing w:before="60"/>
              <w:jc w:val="center"/>
            </w:pPr>
            <m:oMathPara>
              <m:oMath>
                <m:f>
                  <m:fPr>
                    <m:ctrlPr>
                      <w:rPr>
                        <w:rFonts w:ascii="Cambria Math" w:hAnsi="Cambria Math"/>
                        <w:i/>
                      </w:rPr>
                    </m:ctrlPr>
                  </m:fPr>
                  <m:num>
                    <m:r>
                      <w:rPr>
                        <w:rFonts w:ascii="Cambria Math" w:hAnsi="Cambria Math"/>
                      </w:rPr>
                      <m:t>127</m:t>
                    </m:r>
                  </m:num>
                  <m:den>
                    <m:r>
                      <w:rPr>
                        <w:rFonts w:ascii="Cambria Math" w:hAnsi="Cambria Math"/>
                      </w:rPr>
                      <m:t>8</m:t>
                    </m:r>
                  </m:den>
                </m:f>
                <m:r>
                  <w:rPr>
                    <w:rFonts w:ascii="Cambria Math" w:hAnsi="Cambria Math"/>
                  </w:rPr>
                  <m:t>=15.9</m:t>
                </m:r>
              </m:oMath>
            </m:oMathPara>
          </w:p>
        </w:tc>
        <w:tc>
          <w:tcPr>
            <w:tcW w:w="1847" w:type="dxa"/>
            <w:vAlign w:val="center"/>
          </w:tcPr>
          <w:p w:rsidR="001E0E42" w:rsidRPr="001E0E42" w:rsidRDefault="00832A62" w:rsidP="00D77B7A">
            <w:pPr>
              <w:spacing w:before="60"/>
              <w:jc w:val="center"/>
            </w:pPr>
            <m:oMathPara>
              <m:oMath>
                <m:f>
                  <m:fPr>
                    <m:ctrlPr>
                      <w:rPr>
                        <w:rFonts w:ascii="Cambria Math" w:hAnsi="Cambria Math"/>
                        <w:i/>
                      </w:rPr>
                    </m:ctrlPr>
                  </m:fPr>
                  <m:num>
                    <m:r>
                      <w:rPr>
                        <w:rFonts w:ascii="Cambria Math" w:hAnsi="Cambria Math"/>
                      </w:rPr>
                      <m:t>50</m:t>
                    </m:r>
                  </m:num>
                  <m:den>
                    <m:r>
                      <w:rPr>
                        <w:rFonts w:ascii="Cambria Math" w:hAnsi="Cambria Math"/>
                      </w:rPr>
                      <m:t>8</m:t>
                    </m:r>
                  </m:den>
                </m:f>
                <m:r>
                  <w:rPr>
                    <w:rFonts w:ascii="Cambria Math" w:hAnsi="Cambria Math"/>
                  </w:rPr>
                  <m:t>=6.3</m:t>
                </m:r>
              </m:oMath>
            </m:oMathPara>
          </w:p>
        </w:tc>
        <w:tc>
          <w:tcPr>
            <w:tcW w:w="1852" w:type="dxa"/>
            <w:vAlign w:val="center"/>
          </w:tcPr>
          <w:p w:rsidR="001E0E42" w:rsidRPr="001E0E42" w:rsidRDefault="00832A62" w:rsidP="00D77B7A">
            <w:pPr>
              <w:spacing w:before="60"/>
              <w:jc w:val="center"/>
            </w:pPr>
            <m:oMathPara>
              <m:oMath>
                <m:f>
                  <m:fPr>
                    <m:ctrlPr>
                      <w:rPr>
                        <w:rFonts w:ascii="Cambria Math" w:hAnsi="Cambria Math"/>
                        <w:i/>
                      </w:rPr>
                    </m:ctrlPr>
                  </m:fPr>
                  <m:num>
                    <m:r>
                      <w:rPr>
                        <w:rFonts w:ascii="Cambria Math" w:hAnsi="Cambria Math"/>
                      </w:rPr>
                      <m:t>32</m:t>
                    </m:r>
                  </m:num>
                  <m:den>
                    <m:r>
                      <w:rPr>
                        <w:rFonts w:ascii="Cambria Math" w:hAnsi="Cambria Math"/>
                      </w:rPr>
                      <m:t>8</m:t>
                    </m:r>
                  </m:den>
                </m:f>
                <m:r>
                  <w:rPr>
                    <w:rFonts w:ascii="Cambria Math" w:hAnsi="Cambria Math"/>
                  </w:rPr>
                  <m:t>=4.0</m:t>
                </m:r>
              </m:oMath>
            </m:oMathPara>
          </w:p>
        </w:tc>
        <w:tc>
          <w:tcPr>
            <w:tcW w:w="1559" w:type="dxa"/>
            <w:vAlign w:val="center"/>
          </w:tcPr>
          <w:p w:rsidR="001E0E42" w:rsidRPr="001E0E42" w:rsidRDefault="00832A62" w:rsidP="00D77B7A">
            <w:pPr>
              <w:spacing w:before="60"/>
              <w:jc w:val="center"/>
            </w:pPr>
            <m:oMathPara>
              <m:oMath>
                <m:f>
                  <m:fPr>
                    <m:ctrlPr>
                      <w:rPr>
                        <w:rFonts w:ascii="Cambria Math" w:hAnsi="Cambria Math"/>
                        <w:i/>
                      </w:rPr>
                    </m:ctrlPr>
                  </m:fPr>
                  <m:num>
                    <m:r>
                      <w:rPr>
                        <w:rFonts w:ascii="Cambria Math" w:hAnsi="Cambria Math"/>
                      </w:rPr>
                      <m:t>8</m:t>
                    </m:r>
                  </m:num>
                  <m:den>
                    <m:r>
                      <w:rPr>
                        <w:rFonts w:ascii="Cambria Math" w:hAnsi="Cambria Math"/>
                      </w:rPr>
                      <m:t>8</m:t>
                    </m:r>
                  </m:den>
                </m:f>
                <m:r>
                  <w:rPr>
                    <w:rFonts w:ascii="Cambria Math" w:hAnsi="Cambria Math"/>
                  </w:rPr>
                  <m:t>=1</m:t>
                </m:r>
              </m:oMath>
            </m:oMathPara>
          </w:p>
        </w:tc>
      </w:tr>
    </w:tbl>
    <w:p w:rsidR="001E0E42" w:rsidRPr="001E0E42" w:rsidRDefault="001E0E42" w:rsidP="001E0E42"/>
    <w:p w:rsidR="001E0E42" w:rsidRPr="001E0E42" w:rsidRDefault="001E0E42" w:rsidP="001E0E42">
      <w:pPr>
        <w:rPr>
          <w:b/>
        </w:rPr>
      </w:pPr>
      <w:r w:rsidRPr="001E0E42">
        <w:t xml:space="preserve">The ratios of red to purple to scarlet to white is therefore </w:t>
      </w:r>
      <w:proofErr w:type="gramStart"/>
      <w:r w:rsidRPr="001E0E42">
        <w:t>15.9 :</w:t>
      </w:r>
      <w:proofErr w:type="gramEnd"/>
      <w:r w:rsidRPr="001E0E42">
        <w:t xml:space="preserve"> 6.3 : 4.0 : 1</w:t>
      </w:r>
    </w:p>
    <w:p w:rsidR="001E0E42" w:rsidRPr="001E0E42" w:rsidRDefault="001E0E42" w:rsidP="001E0E42">
      <w:r w:rsidRPr="001E0E42">
        <w:t>Again remember that with ratios there are no units.</w:t>
      </w:r>
    </w:p>
    <w:p w:rsidR="001E0E42" w:rsidRDefault="001E0E42">
      <w:pPr>
        <w:spacing w:after="0" w:line="240" w:lineRule="auto"/>
        <w:rPr>
          <w:rFonts w:eastAsia="Times New Roman"/>
          <w:b/>
          <w:bCs/>
          <w:color w:val="802F35"/>
          <w:sz w:val="28"/>
        </w:rPr>
      </w:pPr>
      <w:r>
        <w:br w:type="page"/>
      </w:r>
    </w:p>
    <w:p w:rsidR="001E0E42" w:rsidRPr="001E0E42" w:rsidRDefault="001E0E42" w:rsidP="001E0E42">
      <w:pPr>
        <w:pStyle w:val="Heading3"/>
      </w:pPr>
      <w:r w:rsidRPr="001E0E42">
        <w:lastRenderedPageBreak/>
        <w:t>Sc</w:t>
      </w:r>
      <w:bookmarkStart w:id="4" w:name="_GoBack"/>
      <w:bookmarkEnd w:id="4"/>
      <w:r w:rsidRPr="001E0E42">
        <w:t>ales for measuring</w:t>
      </w:r>
    </w:p>
    <w:p w:rsidR="001E0E42" w:rsidRPr="001E0E42" w:rsidRDefault="001E0E42" w:rsidP="001E0E42">
      <w:r w:rsidRPr="001E0E42">
        <w:t>NB: This topic is covered thoroughly in sections M0.1 and M1.8.</w:t>
      </w:r>
    </w:p>
    <w:p w:rsidR="001E0E42" w:rsidRPr="001E0E42" w:rsidRDefault="001E0E42" w:rsidP="001E0E42">
      <w:r w:rsidRPr="001E0E42">
        <w:t xml:space="preserve">Units show what a quantity is measured in, and generally a measured quantity without units is meaningless. </w:t>
      </w:r>
    </w:p>
    <w:p w:rsidR="001E0E42" w:rsidRPr="001E0E42" w:rsidRDefault="001E0E42" w:rsidP="001E0E42">
      <w:r w:rsidRPr="001E0E42">
        <w:t xml:space="preserve">Learners would be expected to be able to convert between different units, as detailed in section M0.1, with respect to the scale they are measuring in. </w:t>
      </w:r>
    </w:p>
    <w:p w:rsidR="001E0E42" w:rsidRPr="001E0E42" w:rsidRDefault="001E0E42" w:rsidP="001E0E42">
      <w:r w:rsidRPr="001E0E42">
        <w:t xml:space="preserve">For example, bacteria would generally be measured in micrometres (µm), whereas an elephant would be measured in metres (m). As bacteria and elephants are nowhere near the same size, this example shows why understanding scales for measurements and the corresponding units are so important. </w:t>
      </w:r>
    </w:p>
    <w:p w:rsidR="001E0E42" w:rsidRPr="001E0E42" w:rsidRDefault="001E0E42" w:rsidP="001E0E42">
      <w:r w:rsidRPr="001E0E42">
        <w:t>Being able to accurately label diagrams and pictures according to scale is essential, as detailed in section M1.8, and can be denoted by a sentence, ratio or scale bar.</w:t>
      </w:r>
    </w:p>
    <w:p w:rsidR="001E0E42" w:rsidRPr="001E0E42" w:rsidRDefault="001E0E42" w:rsidP="001E0E42"/>
    <w:p w:rsidR="001E0E42" w:rsidRDefault="001E0E42">
      <w:pPr>
        <w:spacing w:after="0" w:line="240" w:lineRule="auto"/>
      </w:pPr>
    </w:p>
    <w:p w:rsidR="00551083" w:rsidRDefault="004F7CFD" w:rsidP="001325C6">
      <w:pPr>
        <w:spacing w:line="240" w:lineRule="auto"/>
      </w:pPr>
      <w:r w:rsidRPr="00F7182C">
        <w:rPr>
          <w:noProof/>
          <w:lang w:eastAsia="en-GB"/>
        </w:rPr>
        <mc:AlternateContent>
          <mc:Choice Requires="wps">
            <w:drawing>
              <wp:anchor distT="0" distB="0" distL="114300" distR="114300" simplePos="0" relativeHeight="251660288" behindDoc="0" locked="0" layoutInCell="1" allowOverlap="1" wp14:anchorId="222931D0" wp14:editId="2168B1A9">
                <wp:simplePos x="0" y="0"/>
                <wp:positionH relativeFrom="column">
                  <wp:posOffset>-200025</wp:posOffset>
                </wp:positionH>
                <wp:positionV relativeFrom="paragraph">
                  <wp:posOffset>1642110</wp:posOffset>
                </wp:positionV>
                <wp:extent cx="6170295" cy="1374140"/>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374140"/>
                        </a:xfrm>
                        <a:prstGeom prst="rect">
                          <a:avLst/>
                        </a:prstGeom>
                        <a:solidFill>
                          <a:srgbClr val="FFFFFF"/>
                        </a:solidFill>
                        <a:ln w="9525">
                          <a:noFill/>
                          <a:miter lim="800000"/>
                          <a:headEnd/>
                          <a:tailEnd/>
                        </a:ln>
                      </wps:spPr>
                      <wps:txbx>
                        <w:txbxContent>
                          <w:p w:rsidR="00F7182C" w:rsidRDefault="00F7182C" w:rsidP="00F7182C">
                            <w:pPr>
                              <w:pStyle w:val="Heading3"/>
                              <w:jc w:val="center"/>
                            </w:pPr>
                            <w:r>
                              <w:t>Produced in collaboration with the University of East Anglia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75pt;margin-top:129.3pt;width:485.85pt;height:10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" stroked="f">
                <v:textbox>
                  <w:txbxContent>
                    <w:p w:rsidR="00F7182C" w:rsidRDefault="00F7182C" w:rsidP="00F7182C">
                      <w:pPr>
                        <w:pStyle w:val="Heading3"/>
                        <w:jc w:val="center"/>
                      </w:pPr>
                      <w:r>
                        <w:t>Produced in collaboration with the University of East Anglia</w:t>
                      </w:r>
                    </w:p>
                  </w:txbxContent>
                </v:textbox>
              </v:shape>
            </w:pict>
          </mc:Fallback>
        </mc:AlternateContent>
      </w:r>
      <w:r w:rsidRPr="00F7182C">
        <w:rPr>
          <w:noProof/>
          <w:lang w:eastAsia="en-GB"/>
        </w:rPr>
        <mc:AlternateContent>
          <mc:Choice Requires="wps">
            <w:drawing>
              <wp:anchor distT="0" distB="0" distL="114300" distR="114300" simplePos="0" relativeHeight="251662336" behindDoc="0" locked="0" layoutInCell="1" allowOverlap="1" wp14:anchorId="1721553F" wp14:editId="74D006A2">
                <wp:simplePos x="0" y="0"/>
                <wp:positionH relativeFrom="column">
                  <wp:posOffset>-209550</wp:posOffset>
                </wp:positionH>
                <wp:positionV relativeFrom="paragraph">
                  <wp:posOffset>2070735</wp:posOffset>
                </wp:positionV>
                <wp:extent cx="6281420" cy="831850"/>
                <wp:effectExtent l="0" t="0" r="0" b="635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31850"/>
                        </a:xfrm>
                        <a:prstGeom prst="rect">
                          <a:avLst/>
                        </a:prstGeom>
                        <a:noFill/>
                        <a:ln w="9525">
                          <a:noFill/>
                          <a:miter lim="800000"/>
                          <a:headEnd/>
                          <a:tailEnd/>
                        </a:ln>
                      </wps:spPr>
                      <wps:txbx>
                        <w:txbxContent>
                          <w:p w:rsidR="00F7182C" w:rsidRDefault="00F7182C" w:rsidP="00F7182C">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0" w:history="1">
                              <w:r w:rsidRPr="00A46BC6">
                                <w:rPr>
                                  <w:rStyle w:val="Hyperlink"/>
                                  <w:rFonts w:cs="Arial"/>
                                  <w:sz w:val="16"/>
                                  <w:szCs w:val="16"/>
                                </w:rPr>
                                <w:t>Biology A</w:t>
                              </w:r>
                            </w:hyperlink>
                            <w:r>
                              <w:rPr>
                                <w:rFonts w:cs="Arial"/>
                                <w:color w:val="000000"/>
                                <w:sz w:val="16"/>
                                <w:szCs w:val="16"/>
                              </w:rPr>
                              <w:t xml:space="preserve"> / </w:t>
                            </w:r>
                            <w:hyperlink r:id="rId11" w:history="1">
                              <w:r w:rsidRPr="00A46BC6">
                                <w:rPr>
                                  <w:rStyle w:val="Hyperlink"/>
                                  <w:rFonts w:cs="Arial"/>
                                  <w:sz w:val="16"/>
                                  <w:szCs w:val="16"/>
                                </w:rPr>
                                <w:t>Biology B</w:t>
                              </w:r>
                            </w:hyperlink>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5pt;margin-top:163.05pt;width:494.6pt;height: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" filled="f" stroked="f">
                <v:textbox>
                  <w:txbxContent>
                    <w:p w:rsidR="00F7182C" w:rsidRDefault="00F7182C" w:rsidP="00F7182C">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2" w:history="1">
                        <w:r w:rsidRPr="00A46BC6">
                          <w:rPr>
                            <w:rStyle w:val="Hyperlink"/>
                            <w:rFonts w:cs="Arial"/>
                            <w:sz w:val="16"/>
                            <w:szCs w:val="16"/>
                          </w:rPr>
                          <w:t>Biology A</w:t>
                        </w:r>
                      </w:hyperlink>
                      <w:r>
                        <w:rPr>
                          <w:rFonts w:cs="Arial"/>
                          <w:color w:val="000000"/>
                          <w:sz w:val="16"/>
                          <w:szCs w:val="16"/>
                        </w:rPr>
                        <w:t xml:space="preserve"> / </w:t>
                      </w:r>
                      <w:hyperlink r:id="rId13" w:history="1">
                        <w:r w:rsidRPr="00A46BC6">
                          <w:rPr>
                            <w:rStyle w:val="Hyperlink"/>
                            <w:rFonts w:cs="Arial"/>
                            <w:sz w:val="16"/>
                            <w:szCs w:val="16"/>
                          </w:rPr>
                          <w:t>Biology B</w:t>
                        </w:r>
                      </w:hyperlink>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F7182C">
        <w:rPr>
          <w:noProof/>
          <w:lang w:eastAsia="en-GB"/>
        </w:rPr>
        <mc:AlternateContent>
          <mc:Choice Requires="wps">
            <w:drawing>
              <wp:anchor distT="0" distB="0" distL="114300" distR="114300" simplePos="0" relativeHeight="251661312" behindDoc="0" locked="0" layoutInCell="1" allowOverlap="1" wp14:anchorId="6B9B7042" wp14:editId="452E741C">
                <wp:simplePos x="0" y="0"/>
                <wp:positionH relativeFrom="column">
                  <wp:posOffset>-209550</wp:posOffset>
                </wp:positionH>
                <wp:positionV relativeFrom="paragraph">
                  <wp:posOffset>2898775</wp:posOffset>
                </wp:positionV>
                <wp:extent cx="6281420" cy="10191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19175"/>
                        </a:xfrm>
                        <a:prstGeom prst="rect">
                          <a:avLst/>
                        </a:prstGeom>
                        <a:noFill/>
                        <a:ln w="9525">
                          <a:noFill/>
                          <a:miter lim="800000"/>
                          <a:headEnd/>
                          <a:tailEnd/>
                        </a:ln>
                      </wps:spPr>
                      <wps:txbx>
                        <w:txbxContent>
                          <w:p w:rsidR="00F7182C" w:rsidRPr="00685A49" w:rsidRDefault="00F7182C" w:rsidP="00F7182C">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4" w:history="1">
                              <w:r w:rsidRPr="001A1B64">
                                <w:rPr>
                                  <w:rStyle w:val="Hyperlink"/>
                                  <w:rFonts w:cs="Arial"/>
                                  <w:sz w:val="16"/>
                                  <w:szCs w:val="16"/>
                                </w:rPr>
                                <w:t>Like</w:t>
                              </w:r>
                            </w:hyperlink>
                            <w:r>
                              <w:rPr>
                                <w:rFonts w:cs="Arial"/>
                                <w:sz w:val="16"/>
                                <w:szCs w:val="16"/>
                              </w:rPr>
                              <w:t>’ or ‘</w:t>
                            </w:r>
                            <w:hyperlink r:id="rId15"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6" w:history="1">
                              <w:r w:rsidRPr="001A1B64">
                                <w:rPr>
                                  <w:rStyle w:val="Hyperlink"/>
                                  <w:rFonts w:cs="Arial"/>
                                  <w:sz w:val="16"/>
                                  <w:szCs w:val="16"/>
                                </w:rPr>
                                <w:t>www.ocr.org.uk/expression-of-interest</w:t>
                              </w:r>
                            </w:hyperlink>
                          </w:p>
                          <w:p w:rsidR="00F7182C" w:rsidRPr="00301B34" w:rsidRDefault="00F7182C" w:rsidP="00F7182C">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6.5pt;margin-top:228.25pt;width:494.6pt;height: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" filled="f" stroked="f">
                <v:textbox>
                  <w:txbxContent>
                    <w:p w:rsidR="00F7182C" w:rsidRPr="00685A49" w:rsidRDefault="00F7182C" w:rsidP="00F7182C">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7" w:history="1">
                        <w:r w:rsidRPr="001A1B64">
                          <w:rPr>
                            <w:rStyle w:val="Hyperlink"/>
                            <w:rFonts w:cs="Arial"/>
                            <w:sz w:val="16"/>
                            <w:szCs w:val="16"/>
                          </w:rPr>
                          <w:t>Like</w:t>
                        </w:r>
                      </w:hyperlink>
                      <w:r>
                        <w:rPr>
                          <w:rFonts w:cs="Arial"/>
                          <w:sz w:val="16"/>
                          <w:szCs w:val="16"/>
                        </w:rPr>
                        <w:t>’ or ‘</w:t>
                      </w:r>
                      <w:hyperlink r:id="rId18"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9" w:history="1">
                        <w:r w:rsidRPr="001A1B64">
                          <w:rPr>
                            <w:rStyle w:val="Hyperlink"/>
                            <w:rFonts w:cs="Arial"/>
                            <w:sz w:val="16"/>
                            <w:szCs w:val="16"/>
                          </w:rPr>
                          <w:t>www.ocr.org.uk/expression-of-interest</w:t>
                        </w:r>
                      </w:hyperlink>
                    </w:p>
                    <w:p w:rsidR="00F7182C" w:rsidRPr="00301B34" w:rsidRDefault="00F7182C" w:rsidP="00F7182C">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F7182C">
        <w:rPr>
          <w:noProof/>
          <w:lang w:eastAsia="en-GB"/>
        </w:rPr>
        <mc:AlternateContent>
          <mc:Choice Requires="wps">
            <w:drawing>
              <wp:anchor distT="0" distB="0" distL="114300" distR="114300" simplePos="0" relativeHeight="251659264" behindDoc="0" locked="0" layoutInCell="1" allowOverlap="1" wp14:anchorId="2263A0AD" wp14:editId="6317D06E">
                <wp:simplePos x="0" y="0"/>
                <wp:positionH relativeFrom="column">
                  <wp:posOffset>-266700</wp:posOffset>
                </wp:positionH>
                <wp:positionV relativeFrom="paragraph">
                  <wp:posOffset>3956685</wp:posOffset>
                </wp:positionV>
                <wp:extent cx="6409690" cy="1163320"/>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6332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6C22EF" w:rsidRPr="00301B34" w:rsidRDefault="00F7182C" w:rsidP="006C22EF">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6C22EF" w:rsidRPr="00301B34">
                              <w:rPr>
                                <w:rFonts w:cs="Arial"/>
                                <w:iCs/>
                                <w:color w:val="000000"/>
                                <w:sz w:val="12"/>
                                <w:szCs w:val="12"/>
                              </w:rPr>
                              <w:t xml:space="preserve">OCR’s </w:t>
                            </w:r>
                            <w:r w:rsidR="006C22EF" w:rsidRPr="00301B34">
                              <w:rPr>
                                <w:rStyle w:val="smallprintChar"/>
                                <w:rFonts w:eastAsia="Calibri"/>
                              </w:rPr>
                              <w:t>resources</w:t>
                            </w:r>
                            <w:r w:rsidR="006C22EF" w:rsidRPr="00301B34">
                              <w:rPr>
                                <w:rFonts w:cs="Arial"/>
                                <w:iCs/>
                                <w:color w:val="000000"/>
                                <w:sz w:val="12"/>
                                <w:szCs w:val="12"/>
                              </w:rPr>
                              <w:t xml:space="preserve"> are provided to support the </w:t>
                            </w:r>
                            <w:r w:rsidR="006C22EF" w:rsidRPr="00761B3F">
                              <w:rPr>
                                <w:rFonts w:cs="Arial"/>
                                <w:iCs/>
                                <w:color w:val="000000"/>
                                <w:sz w:val="12"/>
                                <w:szCs w:val="12"/>
                              </w:rPr>
                              <w:t>delivery of OCR qualifications</w:t>
                            </w:r>
                            <w:r w:rsidR="006C22EF"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6C22EF" w:rsidRPr="00301B34">
                              <w:rPr>
                                <w:rFonts w:cs="Arial"/>
                                <w:iCs/>
                                <w:color w:val="000000"/>
                                <w:sz w:val="12"/>
                                <w:szCs w:val="12"/>
                              </w:rPr>
                              <w:br/>
                            </w:r>
                            <w:r w:rsidR="006C22EF" w:rsidRPr="00301B34">
                              <w:rPr>
                                <w:rFonts w:cs="Arial"/>
                                <w:color w:val="000000"/>
                                <w:sz w:val="12"/>
                                <w:szCs w:val="12"/>
                              </w:rPr>
                              <w:t>© OCR 201</w:t>
                            </w:r>
                            <w:r w:rsidR="00D77B7A">
                              <w:rPr>
                                <w:rFonts w:cs="Arial"/>
                                <w:color w:val="000000"/>
                                <w:sz w:val="12"/>
                                <w:szCs w:val="12"/>
                              </w:rPr>
                              <w:t>7</w:t>
                            </w:r>
                            <w:r w:rsidR="006C22EF"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C22EF" w:rsidRPr="00301B34" w:rsidRDefault="006C22EF" w:rsidP="006C22EF">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6C22EF" w:rsidRPr="00301B34" w:rsidRDefault="006C22EF" w:rsidP="006C22EF">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0" w:history="1">
                              <w:r w:rsidRPr="00301B34">
                                <w:rPr>
                                  <w:rStyle w:val="Hyperlink"/>
                                  <w:rFonts w:cs="Arial"/>
                                  <w:sz w:val="12"/>
                                  <w:szCs w:val="12"/>
                                  <w:lang w:eastAsia="en-GB"/>
                                </w:rPr>
                                <w:t>resources.feedback@ocr.org.uk</w:t>
                              </w:r>
                            </w:hyperlink>
                          </w:p>
                          <w:p w:rsidR="00F7182C" w:rsidRPr="00580794" w:rsidRDefault="00F7182C" w:rsidP="006C22EF">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9"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1pt;margin-top:311.55pt;width:504.7pt;height:9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" fillcolor="#d8d8d8" stroked="f" strokeweight="2pt">
                <v:textbox>
                  <w:txbxContent>
                    <w:p w:rsidR="006C22EF" w:rsidRPr="00301B34" w:rsidRDefault="00F7182C" w:rsidP="006C22EF">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6C22EF" w:rsidRPr="00301B34">
                        <w:rPr>
                          <w:rFonts w:cs="Arial"/>
                          <w:iCs/>
                          <w:color w:val="000000"/>
                          <w:sz w:val="12"/>
                          <w:szCs w:val="12"/>
                        </w:rPr>
                        <w:t xml:space="preserve">OCR’s </w:t>
                      </w:r>
                      <w:r w:rsidR="006C22EF" w:rsidRPr="00301B34">
                        <w:rPr>
                          <w:rStyle w:val="smallprintChar"/>
                          <w:rFonts w:eastAsia="Calibri"/>
                        </w:rPr>
                        <w:t>resources</w:t>
                      </w:r>
                      <w:r w:rsidR="006C22EF" w:rsidRPr="00301B34">
                        <w:rPr>
                          <w:rFonts w:cs="Arial"/>
                          <w:iCs/>
                          <w:color w:val="000000"/>
                          <w:sz w:val="12"/>
                          <w:szCs w:val="12"/>
                        </w:rPr>
                        <w:t xml:space="preserve"> are provided to support the </w:t>
                      </w:r>
                      <w:r w:rsidR="006C22EF" w:rsidRPr="00761B3F">
                        <w:rPr>
                          <w:rFonts w:cs="Arial"/>
                          <w:iCs/>
                          <w:color w:val="000000"/>
                          <w:sz w:val="12"/>
                          <w:szCs w:val="12"/>
                        </w:rPr>
                        <w:t>delivery of OCR qualifications</w:t>
                      </w:r>
                      <w:r w:rsidR="006C22EF"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6C22EF" w:rsidRPr="00301B34">
                        <w:rPr>
                          <w:rFonts w:cs="Arial"/>
                          <w:iCs/>
                          <w:color w:val="000000"/>
                          <w:sz w:val="12"/>
                          <w:szCs w:val="12"/>
                        </w:rPr>
                        <w:br/>
                      </w:r>
                      <w:r w:rsidR="006C22EF" w:rsidRPr="00301B34">
                        <w:rPr>
                          <w:rFonts w:cs="Arial"/>
                          <w:color w:val="000000"/>
                          <w:sz w:val="12"/>
                          <w:szCs w:val="12"/>
                        </w:rPr>
                        <w:t>© OCR 201</w:t>
                      </w:r>
                      <w:r w:rsidR="00D77B7A">
                        <w:rPr>
                          <w:rFonts w:cs="Arial"/>
                          <w:color w:val="000000"/>
                          <w:sz w:val="12"/>
                          <w:szCs w:val="12"/>
                        </w:rPr>
                        <w:t>7</w:t>
                      </w:r>
                      <w:r w:rsidR="006C22EF"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C22EF" w:rsidRPr="00301B34" w:rsidRDefault="006C22EF" w:rsidP="006C22EF">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6C22EF" w:rsidRPr="00301B34" w:rsidRDefault="006C22EF" w:rsidP="006C22EF">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1" w:history="1">
                        <w:r w:rsidRPr="00301B34">
                          <w:rPr>
                            <w:rStyle w:val="Hyperlink"/>
                            <w:rFonts w:cs="Arial"/>
                            <w:sz w:val="12"/>
                            <w:szCs w:val="12"/>
                            <w:lang w:eastAsia="en-GB"/>
                          </w:rPr>
                          <w:t>resources.feedback@ocr.org.uk</w:t>
                        </w:r>
                      </w:hyperlink>
                    </w:p>
                    <w:p w:rsidR="00F7182C" w:rsidRPr="00580794" w:rsidRDefault="00F7182C" w:rsidP="006C22EF">
                      <w:pPr>
                        <w:spacing w:after="0" w:line="360" w:lineRule="auto"/>
                        <w:rPr>
                          <w:rFonts w:cs="Arial"/>
                          <w:color w:val="0000FF"/>
                          <w:sz w:val="12"/>
                          <w:szCs w:val="12"/>
                          <w:u w:val="thick"/>
                          <w:lang w:eastAsia="en-GB"/>
                        </w:rPr>
                      </w:pPr>
                    </w:p>
                  </w:txbxContent>
                </v:textbox>
              </v:roundrect>
            </w:pict>
          </mc:Fallback>
        </mc:AlternateContent>
      </w:r>
    </w:p>
    <w:sectPr w:rsidR="00551083" w:rsidSect="001F70FA">
      <w:headerReference w:type="default" r:id="rId22"/>
      <w:footerReference w:type="default" r:id="rId23"/>
      <w:pgSz w:w="11906" w:h="16838"/>
      <w:pgMar w:top="1249"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B63" w:rsidRDefault="00382B63" w:rsidP="00D21C92">
      <w:r>
        <w:separator/>
      </w:r>
    </w:p>
  </w:endnote>
  <w:endnote w:type="continuationSeparator" w:id="0">
    <w:p w:rsidR="00382B63" w:rsidRDefault="00382B63"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5C6" w:rsidRDefault="006B7C7A" w:rsidP="006B7C7A">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1312" behindDoc="0" locked="0" layoutInCell="1" allowOverlap="1" wp14:anchorId="001165BC" wp14:editId="36789C63">
          <wp:simplePos x="0" y="0"/>
          <wp:positionH relativeFrom="column">
            <wp:posOffset>4692650</wp:posOffset>
          </wp:positionH>
          <wp:positionV relativeFrom="paragraph">
            <wp:posOffset>-603885</wp:posOffset>
          </wp:positionV>
          <wp:extent cx="1428750" cy="857250"/>
          <wp:effectExtent l="0" t="0" r="0" b="0"/>
          <wp:wrapNone/>
          <wp:docPr id="6" name="Picture 6" descr="UEA logo&#10;"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832A62">
      <w:rPr>
        <w:noProof/>
        <w:sz w:val="16"/>
        <w:szCs w:val="16"/>
      </w:rPr>
      <w:t>1</w:t>
    </w:r>
    <w:r w:rsidRPr="0081395C">
      <w:rPr>
        <w:noProof/>
        <w:sz w:val="16"/>
        <w:szCs w:val="16"/>
      </w:rPr>
      <w:fldChar w:fldCharType="end"/>
    </w:r>
    <w:r>
      <w:rPr>
        <w:noProof/>
        <w:sz w:val="16"/>
        <w:szCs w:val="16"/>
      </w:rPr>
      <w:tab/>
    </w:r>
  </w:p>
  <w:p w:rsidR="006B7C7A" w:rsidRPr="006B7C7A" w:rsidRDefault="006B7C7A" w:rsidP="006B7C7A">
    <w:pPr>
      <w:pStyle w:val="Footer"/>
      <w:tabs>
        <w:tab w:val="clear" w:pos="9026"/>
        <w:tab w:val="left" w:pos="0"/>
        <w:tab w:val="right" w:pos="8931"/>
      </w:tabs>
      <w:ind w:right="-22"/>
      <w:rPr>
        <w:noProof/>
        <w:sz w:val="16"/>
        <w:szCs w:val="16"/>
      </w:rPr>
    </w:pPr>
    <w:r>
      <w:rPr>
        <w:noProof/>
        <w:sz w:val="16"/>
        <w:szCs w:val="16"/>
      </w:rPr>
      <w:t>© OCR 201</w:t>
    </w:r>
    <w:r w:rsidR="00D77B7A">
      <w:rPr>
        <w:noProof/>
        <w:sz w:val="16"/>
        <w:szCs w:val="16"/>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0FA" w:rsidRPr="006B7C7A" w:rsidRDefault="001F70FA" w:rsidP="006B7C7A">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832A62">
      <w:rPr>
        <w:noProof/>
        <w:sz w:val="16"/>
        <w:szCs w:val="16"/>
      </w:rPr>
      <w:t>5</w:t>
    </w:r>
    <w:r w:rsidRPr="0081395C">
      <w:rPr>
        <w:noProof/>
        <w:sz w:val="16"/>
        <w:szCs w:val="16"/>
      </w:rPr>
      <w:fldChar w:fldCharType="end"/>
    </w:r>
    <w:r>
      <w:rPr>
        <w:noProof/>
        <w:sz w:val="16"/>
        <w:szCs w:val="16"/>
      </w:rPr>
      <w:tab/>
      <w:t>© OCR 201</w:t>
    </w:r>
    <w:r w:rsidR="00D77B7A">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B63" w:rsidRDefault="00382B63" w:rsidP="00D21C92">
      <w:r>
        <w:separator/>
      </w:r>
    </w:p>
  </w:footnote>
  <w:footnote w:type="continuationSeparator" w:id="0">
    <w:p w:rsidR="00382B63" w:rsidRDefault="00382B63"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BD" w:rsidRDefault="00FB5A3E" w:rsidP="00D21C92">
    <w:pPr>
      <w:pStyle w:val="Header"/>
    </w:pPr>
    <w:r>
      <w:rPr>
        <w:noProof/>
        <w:lang w:eastAsia="en-GB"/>
      </w:rPr>
      <w:drawing>
        <wp:anchor distT="0" distB="0" distL="114300" distR="114300" simplePos="0" relativeHeight="251659264" behindDoc="1" locked="0" layoutInCell="1" allowOverlap="1" wp14:anchorId="2B4A14BE" wp14:editId="540A8687">
          <wp:simplePos x="0" y="0"/>
          <wp:positionH relativeFrom="column">
            <wp:posOffset>-914400</wp:posOffset>
          </wp:positionH>
          <wp:positionV relativeFrom="paragraph">
            <wp:posOffset>-360045</wp:posOffset>
          </wp:positionV>
          <wp:extent cx="7561580" cy="1082040"/>
          <wp:effectExtent l="0" t="0" r="1270" b="3810"/>
          <wp:wrapTight wrapText="bothSides">
            <wp:wrapPolygon edited="0">
              <wp:start x="0" y="0"/>
              <wp:lineTo x="0" y="21296"/>
              <wp:lineTo x="21549" y="21296"/>
              <wp:lineTo x="21549" y="0"/>
              <wp:lineTo x="0" y="0"/>
            </wp:wrapPolygon>
          </wp:wrapTight>
          <wp:docPr id="5" name="Picture 5"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FB5A3E" w:rsidP="00D21C92">
    <w:pPr>
      <w:pStyle w:val="Header"/>
    </w:pPr>
    <w:r>
      <w:rPr>
        <w:noProof/>
        <w:lang w:eastAsia="en-GB"/>
      </w:rPr>
      <w:drawing>
        <wp:anchor distT="0" distB="0" distL="114300" distR="114300" simplePos="0" relativeHeight="251658240" behindDoc="1" locked="0" layoutInCell="1" allowOverlap="1" wp14:anchorId="675AB9FD" wp14:editId="1E9E148D">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77" name="Picture 7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3604D2"/>
    <w:multiLevelType w:val="hybridMultilevel"/>
    <w:tmpl w:val="3416A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5785C"/>
    <w:rsid w:val="00064CD4"/>
    <w:rsid w:val="000746B2"/>
    <w:rsid w:val="000805C5"/>
    <w:rsid w:val="00083F03"/>
    <w:rsid w:val="00085224"/>
    <w:rsid w:val="000A1397"/>
    <w:rsid w:val="000D09AE"/>
    <w:rsid w:val="000E6DB1"/>
    <w:rsid w:val="001114D3"/>
    <w:rsid w:val="00122137"/>
    <w:rsid w:val="001325C6"/>
    <w:rsid w:val="00136ABA"/>
    <w:rsid w:val="001473D2"/>
    <w:rsid w:val="0016654B"/>
    <w:rsid w:val="00176983"/>
    <w:rsid w:val="001832D7"/>
    <w:rsid w:val="0018426D"/>
    <w:rsid w:val="001B2783"/>
    <w:rsid w:val="001C3787"/>
    <w:rsid w:val="001D48A3"/>
    <w:rsid w:val="001E0E42"/>
    <w:rsid w:val="001F70FA"/>
    <w:rsid w:val="00204D4D"/>
    <w:rsid w:val="0025526D"/>
    <w:rsid w:val="00265900"/>
    <w:rsid w:val="002743AE"/>
    <w:rsid w:val="002804A7"/>
    <w:rsid w:val="002864F2"/>
    <w:rsid w:val="002934C4"/>
    <w:rsid w:val="002B2A12"/>
    <w:rsid w:val="002B3DDA"/>
    <w:rsid w:val="002B5830"/>
    <w:rsid w:val="002D3B44"/>
    <w:rsid w:val="002D6A1F"/>
    <w:rsid w:val="002F1BA0"/>
    <w:rsid w:val="002F2E8A"/>
    <w:rsid w:val="00315FAE"/>
    <w:rsid w:val="00325F15"/>
    <w:rsid w:val="00331362"/>
    <w:rsid w:val="00332731"/>
    <w:rsid w:val="00335B98"/>
    <w:rsid w:val="00337B68"/>
    <w:rsid w:val="00351C83"/>
    <w:rsid w:val="0035271C"/>
    <w:rsid w:val="00367577"/>
    <w:rsid w:val="003676B4"/>
    <w:rsid w:val="00370974"/>
    <w:rsid w:val="00382B63"/>
    <w:rsid w:val="00382D39"/>
    <w:rsid w:val="00384833"/>
    <w:rsid w:val="00394712"/>
    <w:rsid w:val="003A7E77"/>
    <w:rsid w:val="003B4A22"/>
    <w:rsid w:val="003B5BCE"/>
    <w:rsid w:val="003F4E64"/>
    <w:rsid w:val="00463032"/>
    <w:rsid w:val="0046373E"/>
    <w:rsid w:val="00475288"/>
    <w:rsid w:val="004772A2"/>
    <w:rsid w:val="00484120"/>
    <w:rsid w:val="0049630B"/>
    <w:rsid w:val="004A5F0E"/>
    <w:rsid w:val="004B7C78"/>
    <w:rsid w:val="004C15EC"/>
    <w:rsid w:val="004E44C4"/>
    <w:rsid w:val="004F411A"/>
    <w:rsid w:val="004F7CFD"/>
    <w:rsid w:val="00513A44"/>
    <w:rsid w:val="0052418B"/>
    <w:rsid w:val="00551083"/>
    <w:rsid w:val="00574CD7"/>
    <w:rsid w:val="005801B0"/>
    <w:rsid w:val="00584FEF"/>
    <w:rsid w:val="00585E66"/>
    <w:rsid w:val="0058629A"/>
    <w:rsid w:val="00586E47"/>
    <w:rsid w:val="005960DC"/>
    <w:rsid w:val="005C3A0D"/>
    <w:rsid w:val="005C7B53"/>
    <w:rsid w:val="005D6EB5"/>
    <w:rsid w:val="005E6721"/>
    <w:rsid w:val="00601EF5"/>
    <w:rsid w:val="00611957"/>
    <w:rsid w:val="00630A10"/>
    <w:rsid w:val="00631E5B"/>
    <w:rsid w:val="0064100A"/>
    <w:rsid w:val="0064588A"/>
    <w:rsid w:val="00651102"/>
    <w:rsid w:val="00651168"/>
    <w:rsid w:val="006552B3"/>
    <w:rsid w:val="00662B20"/>
    <w:rsid w:val="00692EA4"/>
    <w:rsid w:val="00695791"/>
    <w:rsid w:val="006A144D"/>
    <w:rsid w:val="006A1E7F"/>
    <w:rsid w:val="006A20FA"/>
    <w:rsid w:val="006B143C"/>
    <w:rsid w:val="006B7C7A"/>
    <w:rsid w:val="006C22EF"/>
    <w:rsid w:val="006D1D6F"/>
    <w:rsid w:val="00704CD9"/>
    <w:rsid w:val="00737176"/>
    <w:rsid w:val="00750F32"/>
    <w:rsid w:val="00753272"/>
    <w:rsid w:val="00755848"/>
    <w:rsid w:val="0076359B"/>
    <w:rsid w:val="00770C0F"/>
    <w:rsid w:val="007916A6"/>
    <w:rsid w:val="007953E7"/>
    <w:rsid w:val="007B5519"/>
    <w:rsid w:val="007B7752"/>
    <w:rsid w:val="007C7EA0"/>
    <w:rsid w:val="007E3872"/>
    <w:rsid w:val="008064FC"/>
    <w:rsid w:val="0081645F"/>
    <w:rsid w:val="00817B2F"/>
    <w:rsid w:val="00820A1F"/>
    <w:rsid w:val="00823DD2"/>
    <w:rsid w:val="008324A5"/>
    <w:rsid w:val="00832A62"/>
    <w:rsid w:val="0084029E"/>
    <w:rsid w:val="00863C0D"/>
    <w:rsid w:val="0087768F"/>
    <w:rsid w:val="008A1151"/>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A01ECB"/>
    <w:rsid w:val="00A158D8"/>
    <w:rsid w:val="00A422E6"/>
    <w:rsid w:val="00A44F03"/>
    <w:rsid w:val="00A55164"/>
    <w:rsid w:val="00A5549E"/>
    <w:rsid w:val="00A71211"/>
    <w:rsid w:val="00AA7E75"/>
    <w:rsid w:val="00AB1D37"/>
    <w:rsid w:val="00AB7712"/>
    <w:rsid w:val="00B005D8"/>
    <w:rsid w:val="00B440B0"/>
    <w:rsid w:val="00B47B21"/>
    <w:rsid w:val="00B559A4"/>
    <w:rsid w:val="00B9713B"/>
    <w:rsid w:val="00BA3F5A"/>
    <w:rsid w:val="00BA78EF"/>
    <w:rsid w:val="00BB18ED"/>
    <w:rsid w:val="00BB3899"/>
    <w:rsid w:val="00BE1451"/>
    <w:rsid w:val="00BF1419"/>
    <w:rsid w:val="00C41153"/>
    <w:rsid w:val="00C65D32"/>
    <w:rsid w:val="00CA4837"/>
    <w:rsid w:val="00CA551A"/>
    <w:rsid w:val="00CD01BC"/>
    <w:rsid w:val="00CD3271"/>
    <w:rsid w:val="00CD5C7D"/>
    <w:rsid w:val="00CE2377"/>
    <w:rsid w:val="00D04336"/>
    <w:rsid w:val="00D046EA"/>
    <w:rsid w:val="00D17411"/>
    <w:rsid w:val="00D21C92"/>
    <w:rsid w:val="00D22A17"/>
    <w:rsid w:val="00D237BC"/>
    <w:rsid w:val="00D25728"/>
    <w:rsid w:val="00D36F89"/>
    <w:rsid w:val="00D5790E"/>
    <w:rsid w:val="00D67396"/>
    <w:rsid w:val="00D77B7A"/>
    <w:rsid w:val="00DC23AE"/>
    <w:rsid w:val="00DC35BA"/>
    <w:rsid w:val="00DD7EFE"/>
    <w:rsid w:val="00E07FA0"/>
    <w:rsid w:val="00E26AF8"/>
    <w:rsid w:val="00E275E7"/>
    <w:rsid w:val="00E37D89"/>
    <w:rsid w:val="00E50857"/>
    <w:rsid w:val="00E52607"/>
    <w:rsid w:val="00E81783"/>
    <w:rsid w:val="00E84ECF"/>
    <w:rsid w:val="00E8521A"/>
    <w:rsid w:val="00EB32AE"/>
    <w:rsid w:val="00ED2986"/>
    <w:rsid w:val="00F05D66"/>
    <w:rsid w:val="00F165E9"/>
    <w:rsid w:val="00F261EA"/>
    <w:rsid w:val="00F447AA"/>
    <w:rsid w:val="00F53ED3"/>
    <w:rsid w:val="00F6602B"/>
    <w:rsid w:val="00F67B39"/>
    <w:rsid w:val="00F7182C"/>
    <w:rsid w:val="00F80108"/>
    <w:rsid w:val="00FA0957"/>
    <w:rsid w:val="00FA2B5B"/>
    <w:rsid w:val="00FA301B"/>
    <w:rsid w:val="00FA7D32"/>
    <w:rsid w:val="00FB225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cr.org.uk/qualifications/as-a-level-gce-biology-b-advancing-biology-h022-h422-from-2015/" TargetMode="External"/><Relationship Id="rId18" Type="http://schemas.openxmlformats.org/officeDocument/2006/relationships/hyperlink" Target="mailto:resources.feedback@ocr.org.uk?subject=I%20disliked%20the%20A%20Level%20Biology%20Maths%20resource%20M0.3%20Use%20ratios,%20fractions%20and%20percentages" TargetMode="External"/><Relationship Id="rId26"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hyperlink" Target="mailto:resources.feedback@ocr.org.uk" TargetMode="External"/><Relationship Id="rId7" Type="http://schemas.openxmlformats.org/officeDocument/2006/relationships/endnotes" Target="endnotes.xml"/><Relationship Id="rId12" Type="http://schemas.openxmlformats.org/officeDocument/2006/relationships/hyperlink" Target="http://www.ocr.org.uk/qualifications/as-a-level-gce-biology-a-h020-h420-from-2015/" TargetMode="External"/><Relationship Id="rId17" Type="http://schemas.openxmlformats.org/officeDocument/2006/relationships/hyperlink" Target="mailto:resources.feedback@ocr.org.uk?subject=I%20liked%20the%20A%20Level%20Biology%20Maths%20resource%20M0.3%20Use%20ratios,%20fractions%20and%20percentag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cr.org.uk/expression-of-interest" TargetMode="External"/><Relationship Id="rId20" Type="http://schemas.openxmlformats.org/officeDocument/2006/relationships/hyperlink" Target="mailto:resources.feedback@ocr.org.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cr.org.uk/qualifications/as-a-level-gce-biology-b-advancing-biology-h022-h422-from-2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sources.feedback@ocr.org.uk?subject=I%20disliked%20the%20A%20Level%20Biology%20Maths%20resource%20M0.3%20Use%20ratios,%20fractions%20and%20percentages" TargetMode="External"/><Relationship Id="rId23" Type="http://schemas.openxmlformats.org/officeDocument/2006/relationships/footer" Target="footer2.xml"/><Relationship Id="rId10" Type="http://schemas.openxmlformats.org/officeDocument/2006/relationships/hyperlink" Target="http://www.ocr.org.uk/qualifications/as-a-level-gce-biology-a-h020-h420-from-2015/" TargetMode="External"/><Relationship Id="rId19" Type="http://schemas.openxmlformats.org/officeDocument/2006/relationships/hyperlink" Target="http://www.ocr.org.uk/expression-of-interes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subject=I%20liked%20the%20A%20Level%20Biology%20Maths%20resource%20M0.3%20Use%20ratios,%20fractions%20and%20percentages" TargetMode="External"/><Relationship Id="rId22" Type="http://schemas.openxmlformats.org/officeDocument/2006/relationships/header" Target="header2.xml"/><Relationship Id="rId27"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06F9B-8EB6-405A-BDC6-111D0FFADCDF}"/>
</file>

<file path=customXml/itemProps2.xml><?xml version="1.0" encoding="utf-8"?>
<ds:datastoreItem xmlns:ds="http://schemas.openxmlformats.org/officeDocument/2006/customXml" ds:itemID="{779420F9-E34D-48D9-BA0B-36015D7F55DF}"/>
</file>

<file path=docProps/app.xml><?xml version="1.0" encoding="utf-8"?>
<Properties xmlns="http://schemas.openxmlformats.org/officeDocument/2006/extended-properties" xmlns:vt="http://schemas.openxmlformats.org/officeDocument/2006/docPropsVTypes">
  <Template>Normal</Template>
  <TotalTime>2</TotalTime>
  <Pages>6</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AS and A Level Biology M0.3 Text Tutorial</vt:lpstr>
    </vt:vector>
  </TitlesOfParts>
  <Company>Cambridge Assessment</Company>
  <LinksUpToDate>false</LinksUpToDate>
  <CharactersWithSpaces>9778</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Biology M0.3 Text Tutorial</dc:title>
  <dc:creator>OCR</dc:creator>
  <cp:keywords>A Level, Biology, maths, M0.3, Text Tutorial</cp:keywords>
  <cp:lastModifiedBy>Rachel Davis</cp:lastModifiedBy>
  <cp:revision>4</cp:revision>
  <cp:lastPrinted>2016-11-24T10:35:00Z</cp:lastPrinted>
  <dcterms:created xsi:type="dcterms:W3CDTF">2017-05-26T16:00:00Z</dcterms:created>
  <dcterms:modified xsi:type="dcterms:W3CDTF">2017-09-14T13:50:00Z</dcterms:modified>
</cp:coreProperties>
</file>