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4C3F" w14:textId="6D74BD81" w:rsidR="001325C6" w:rsidRDefault="007744CF" w:rsidP="001325C6">
      <w:pPr>
        <w:pStyle w:val="Heading1"/>
      </w:pPr>
      <w:r w:rsidRPr="000958C5">
        <w:t>Maths skills – M2.</w:t>
      </w:r>
      <w:r w:rsidR="00BC279A">
        <w:t>2</w:t>
      </w:r>
      <w:r w:rsidRPr="000958C5">
        <w:t xml:space="preserve"> </w:t>
      </w:r>
      <w:r w:rsidR="00BC279A">
        <w:t>Chang</w:t>
      </w:r>
      <w:r w:rsidR="00C87268">
        <w:t>e</w:t>
      </w:r>
      <w:bookmarkStart w:id="0" w:name="_GoBack"/>
      <w:bookmarkEnd w:id="0"/>
      <w:r w:rsidR="00BC279A">
        <w:t xml:space="preserve"> the subject of an equation</w:t>
      </w:r>
    </w:p>
    <w:p w14:paraId="775BAEAD" w14:textId="009E3D1B" w:rsidR="006B7C7A" w:rsidRDefault="009F2C2B" w:rsidP="003B5BCE">
      <w:pPr>
        <w:pStyle w:val="Heading3"/>
      </w:pPr>
      <w:r>
        <w:t>Tutorial</w:t>
      </w:r>
      <w:r w:rsidR="00192190">
        <w:t>s</w:t>
      </w:r>
    </w:p>
    <w:p w14:paraId="13491FFC" w14:textId="77777777" w:rsidR="009F2C2B" w:rsidRPr="00570789" w:rsidRDefault="009F2C2B" w:rsidP="000D6D72">
      <w:pPr>
        <w:spacing w:after="0"/>
        <w:rPr>
          <w:rFonts w:cs="Arial"/>
        </w:rPr>
      </w:pPr>
      <w:r w:rsidRPr="00570789">
        <w:rPr>
          <w:rFonts w:cs="Arial"/>
        </w:rPr>
        <w:t>Learners may be tested on their ability to:</w:t>
      </w:r>
    </w:p>
    <w:p w14:paraId="4672BECF" w14:textId="77777777" w:rsidR="00BC279A" w:rsidRPr="00BC279A" w:rsidRDefault="00BC279A" w:rsidP="00BC279A">
      <w:pPr>
        <w:pStyle w:val="NoSpacing"/>
      </w:pPr>
      <w:r w:rsidRPr="00BC279A">
        <w:t>use and manipulate equations, e.g. magnification</w:t>
      </w:r>
    </w:p>
    <w:p w14:paraId="7F32A0DD" w14:textId="04E26D31" w:rsidR="009F2C2B" w:rsidRDefault="00BC279A" w:rsidP="009F2C2B">
      <w:pPr>
        <w:pStyle w:val="Heading3"/>
      </w:pPr>
      <w:r>
        <w:t>Changing the subject of an equation</w:t>
      </w:r>
    </w:p>
    <w:p w14:paraId="652229FE" w14:textId="77777777" w:rsidR="00BC279A" w:rsidRDefault="00BC279A" w:rsidP="00BC279A">
      <w:pPr>
        <w:rPr>
          <w:rFonts w:cs="Arial"/>
        </w:rPr>
      </w:pPr>
      <w:r w:rsidRPr="009757DC">
        <w:rPr>
          <w:rFonts w:cs="Arial"/>
        </w:rPr>
        <w:t>There are many important equations</w:t>
      </w:r>
      <w:r>
        <w:rPr>
          <w:rFonts w:cs="Arial"/>
        </w:rPr>
        <w:t xml:space="preserve"> or formulae</w:t>
      </w:r>
      <w:r w:rsidRPr="009757DC">
        <w:rPr>
          <w:rFonts w:cs="Arial"/>
        </w:rPr>
        <w:t xml:space="preserve"> that are used in </w:t>
      </w:r>
      <w:r>
        <w:rPr>
          <w:rFonts w:cs="Arial"/>
        </w:rPr>
        <w:t>many</w:t>
      </w:r>
      <w:r w:rsidRPr="009757DC">
        <w:rPr>
          <w:rFonts w:cs="Arial"/>
        </w:rPr>
        <w:t xml:space="preserve"> biological contexts. </w:t>
      </w:r>
      <w:r>
        <w:rPr>
          <w:rFonts w:cs="Arial"/>
        </w:rPr>
        <w:t xml:space="preserve">It is essential that you are able to rearrange these formulae to make the “unknown” part of the equation the subject. </w:t>
      </w:r>
    </w:p>
    <w:p w14:paraId="6AB1F0FA" w14:textId="77777777" w:rsidR="00BC279A" w:rsidRDefault="00BC279A" w:rsidP="00BC279A">
      <w:pPr>
        <w:jc w:val="both"/>
        <w:rPr>
          <w:rFonts w:cs="Arial"/>
        </w:rPr>
      </w:pPr>
      <w:r>
        <w:rPr>
          <w:rFonts w:cs="Arial"/>
        </w:rPr>
        <w:t>The golden rule with equations is to make sure that one side always equals the other.  The equals sign is the crucial part, so if you do something to one side of the equation, you must do the same to the other side.</w:t>
      </w:r>
    </w:p>
    <w:p w14:paraId="4776A2C0" w14:textId="77777777" w:rsidR="00BC279A" w:rsidRPr="009757DC" w:rsidRDefault="00BC279A" w:rsidP="00BC279A">
      <w:pPr>
        <w:jc w:val="both"/>
        <w:rPr>
          <w:rFonts w:cs="Arial"/>
        </w:rPr>
      </w:pPr>
      <w:r>
        <w:rPr>
          <w:rFonts w:cs="Arial"/>
        </w:rPr>
        <w:t>The part of the equation that you are trying to find, the ‘unknown’, always goes on the left hand side, but the equation can be written either way round, so a=</w:t>
      </w:r>
      <w:proofErr w:type="spellStart"/>
      <w:r>
        <w:rPr>
          <w:rFonts w:cs="Arial"/>
        </w:rPr>
        <w:t>bc</w:t>
      </w:r>
      <w:proofErr w:type="spellEnd"/>
      <w:r>
        <w:rPr>
          <w:rFonts w:cs="Arial"/>
        </w:rPr>
        <w:t xml:space="preserve"> is exactly the same as </w:t>
      </w:r>
      <w:proofErr w:type="spellStart"/>
      <w:r>
        <w:rPr>
          <w:rFonts w:cs="Arial"/>
        </w:rPr>
        <w:t>bc</w:t>
      </w:r>
      <w:proofErr w:type="spellEnd"/>
      <w:r>
        <w:rPr>
          <w:rFonts w:cs="Arial"/>
        </w:rPr>
        <w:t>=a, but if it is a that is the subject of the equation, it goes on the left hand side.</w:t>
      </w:r>
    </w:p>
    <w:p w14:paraId="2D4E8A39" w14:textId="77777777" w:rsidR="00BC279A" w:rsidRDefault="00BC279A" w:rsidP="00BC279A">
      <w:pPr>
        <w:rPr>
          <w:rFonts w:cs="Arial"/>
          <w:i/>
        </w:rPr>
      </w:pPr>
      <w:r>
        <w:rPr>
          <w:rFonts w:cs="Arial"/>
        </w:rPr>
        <w:t>For example</w:t>
      </w:r>
      <w:r w:rsidRPr="009757DC">
        <w:rPr>
          <w:rFonts w:cs="Arial"/>
        </w:rPr>
        <w:t xml:space="preserve"> three quantities </w:t>
      </w:r>
      <w:r w:rsidRPr="009757DC">
        <w:rPr>
          <w:rFonts w:cs="Arial"/>
          <w:i/>
        </w:rPr>
        <w:t>a</w:t>
      </w:r>
      <w:r w:rsidRPr="009757DC">
        <w:rPr>
          <w:rFonts w:cs="Arial"/>
        </w:rPr>
        <w:t xml:space="preserve">, </w:t>
      </w:r>
      <w:r w:rsidRPr="009757DC">
        <w:rPr>
          <w:rFonts w:cs="Arial"/>
          <w:i/>
        </w:rPr>
        <w:t>b</w:t>
      </w:r>
      <w:r w:rsidRPr="009757DC">
        <w:rPr>
          <w:rFonts w:cs="Arial"/>
        </w:rPr>
        <w:t xml:space="preserve"> and </w:t>
      </w:r>
      <w:r w:rsidRPr="009757DC">
        <w:rPr>
          <w:rFonts w:cs="Arial"/>
          <w:i/>
        </w:rPr>
        <w:t>c</w:t>
      </w:r>
      <w:r w:rsidRPr="009757DC">
        <w:rPr>
          <w:rFonts w:cs="Arial"/>
        </w:rPr>
        <w:t xml:space="preserve"> are linked by the simple relationship</w:t>
      </w:r>
      <w:r>
        <w:rPr>
          <w:rFonts w:cs="Arial"/>
        </w:rPr>
        <w:t xml:space="preserve"> </w:t>
      </w:r>
      <w:proofErr w:type="gramStart"/>
      <w:r w:rsidRPr="00FA45B8">
        <w:rPr>
          <w:rFonts w:cs="Arial"/>
          <w:i/>
        </w:rPr>
        <w:t>a</w:t>
      </w:r>
      <w:proofErr w:type="gramEnd"/>
      <w:r>
        <w:rPr>
          <w:rFonts w:cs="Arial"/>
        </w:rPr>
        <w:t xml:space="preserve"> equals </w:t>
      </w:r>
      <w:r w:rsidRPr="00FA45B8">
        <w:rPr>
          <w:rFonts w:cs="Arial"/>
          <w:i/>
        </w:rPr>
        <w:t xml:space="preserve">b </w:t>
      </w:r>
      <w:r>
        <w:rPr>
          <w:rFonts w:cs="Arial"/>
        </w:rPr>
        <w:t xml:space="preserve">times </w:t>
      </w:r>
      <w:r w:rsidRPr="00FA45B8">
        <w:rPr>
          <w:rFonts w:cs="Arial"/>
          <w:i/>
        </w:rPr>
        <w:t>c.</w:t>
      </w:r>
    </w:p>
    <w:p w14:paraId="2A00B9D3" w14:textId="45D67388" w:rsidR="00F46F1A" w:rsidRDefault="00F46F1A" w:rsidP="00BC279A">
      <w:pPr>
        <w:rPr>
          <w:rFonts w:cs="Arial"/>
          <w:i/>
        </w:rPr>
      </w:pPr>
      <m:oMathPara>
        <m:oMath>
          <m:r>
            <w:rPr>
              <w:rFonts w:ascii="Cambria Math" w:hAnsi="Cambria Math" w:cs="Arial"/>
            </w:rPr>
            <m:t>a=bc</m:t>
          </m:r>
        </m:oMath>
      </m:oMathPara>
    </w:p>
    <w:p w14:paraId="23EF5329" w14:textId="77777777" w:rsidR="00BC279A" w:rsidRDefault="00BC279A" w:rsidP="00BC279A">
      <w:pPr>
        <w:jc w:val="both"/>
        <w:rPr>
          <w:rFonts w:cs="Arial"/>
        </w:rPr>
      </w:pPr>
      <w:r w:rsidRPr="009757DC">
        <w:rPr>
          <w:rFonts w:cs="Arial"/>
        </w:rPr>
        <w:t>T</w:t>
      </w:r>
      <w:r>
        <w:rPr>
          <w:rFonts w:cs="Arial"/>
        </w:rPr>
        <w:t xml:space="preserve">o make </w:t>
      </w:r>
      <w:r>
        <w:rPr>
          <w:rFonts w:cs="Arial"/>
          <w:i/>
        </w:rPr>
        <w:t xml:space="preserve">b </w:t>
      </w:r>
      <w:r>
        <w:rPr>
          <w:rFonts w:cs="Arial"/>
        </w:rPr>
        <w:t xml:space="preserve">the subject of the equation you need to get it on its own. So we need to divide both sides of the equation by </w:t>
      </w:r>
      <w:r>
        <w:rPr>
          <w:rFonts w:cs="Arial"/>
          <w:i/>
        </w:rPr>
        <w:t xml:space="preserve">c. c </w:t>
      </w:r>
      <w:r w:rsidRPr="002B06ED">
        <w:rPr>
          <w:rFonts w:cs="Arial"/>
        </w:rPr>
        <w:t>then cancels out</w:t>
      </w:r>
      <w:r>
        <w:rPr>
          <w:rFonts w:cs="Arial"/>
        </w:rPr>
        <w:t xml:space="preserve"> on the right hand side</w:t>
      </w:r>
      <w:r w:rsidRPr="002B06ED">
        <w:rPr>
          <w:rFonts w:cs="Arial"/>
        </w:rPr>
        <w:t>, and leaves</w:t>
      </w:r>
      <w:r>
        <w:rPr>
          <w:rFonts w:cs="Arial"/>
          <w:i/>
        </w:rPr>
        <w:t xml:space="preserve"> </w:t>
      </w:r>
      <w:r w:rsidRPr="002B06ED">
        <w:rPr>
          <w:rFonts w:cs="Arial"/>
        </w:rPr>
        <w:t>the f</w:t>
      </w:r>
      <w:r>
        <w:rPr>
          <w:rFonts w:cs="Arial"/>
        </w:rPr>
        <w:t xml:space="preserve">ormula  </w:t>
      </w:r>
      <w:r>
        <w:rPr>
          <w:rFonts w:cs="Arial"/>
          <w:i/>
        </w:rPr>
        <w:t>a</w:t>
      </w:r>
      <w:r>
        <w:rPr>
          <w:rFonts w:cs="Arial"/>
        </w:rPr>
        <w:t xml:space="preserve"> divided by </w:t>
      </w:r>
      <w:r>
        <w:rPr>
          <w:rFonts w:cs="Arial"/>
          <w:i/>
        </w:rPr>
        <w:t>c</w:t>
      </w:r>
      <w:r>
        <w:rPr>
          <w:rFonts w:cs="Arial"/>
        </w:rPr>
        <w:t xml:space="preserve"> equals</w:t>
      </w:r>
      <w:r w:rsidRPr="009757DC">
        <w:rPr>
          <w:rFonts w:cs="Arial"/>
        </w:rPr>
        <w:t xml:space="preserve"> </w:t>
      </w:r>
      <w:r w:rsidRPr="009757DC">
        <w:rPr>
          <w:rFonts w:cs="Arial"/>
          <w:i/>
        </w:rPr>
        <w:t>b</w:t>
      </w:r>
      <w:r>
        <w:rPr>
          <w:rFonts w:cs="Arial"/>
        </w:rPr>
        <w:t>.</w:t>
      </w:r>
    </w:p>
    <w:p w14:paraId="4F1B0850" w14:textId="2C556156" w:rsidR="00F46F1A" w:rsidRDefault="00C87268" w:rsidP="00BC279A">
      <w:pPr>
        <w:jc w:val="both"/>
        <w:rPr>
          <w:rFonts w:cs="Arial"/>
        </w:rPr>
      </w:pPr>
      <m:oMathPara>
        <m:oMath>
          <m:f>
            <m:fPr>
              <m:ctrlPr>
                <w:rPr>
                  <w:rFonts w:ascii="Cambria Math" w:hAnsi="Cambria Math" w:cs="Arial"/>
                  <w:i/>
                </w:rPr>
              </m:ctrlPr>
            </m:fPr>
            <m:num>
              <m:r>
                <w:rPr>
                  <w:rFonts w:ascii="Cambria Math" w:hAnsi="Cambria Math" w:cs="Arial"/>
                </w:rPr>
                <m:t>a</m:t>
              </m:r>
            </m:num>
            <m:den>
              <m:r>
                <w:rPr>
                  <w:rFonts w:ascii="Cambria Math" w:hAnsi="Cambria Math" w:cs="Arial"/>
                </w:rPr>
                <m:t>c</m:t>
              </m:r>
            </m:den>
          </m:f>
          <m:r>
            <w:rPr>
              <w:rFonts w:ascii="Cambria Math" w:hAnsi="Cambria Math" w:cs="Arial"/>
            </w:rPr>
            <m:t>=b</m:t>
          </m:r>
        </m:oMath>
      </m:oMathPara>
    </w:p>
    <w:p w14:paraId="162C17E5" w14:textId="77777777" w:rsidR="00BC279A" w:rsidRDefault="00BC279A" w:rsidP="00BC279A">
      <w:pPr>
        <w:jc w:val="both"/>
        <w:rPr>
          <w:rFonts w:cs="Arial"/>
        </w:rPr>
      </w:pPr>
      <w:r>
        <w:rPr>
          <w:rFonts w:cs="Arial"/>
        </w:rPr>
        <w:t xml:space="preserve">The new subject of the equation is </w:t>
      </w:r>
      <w:r w:rsidRPr="00F46F1A">
        <w:rPr>
          <w:rFonts w:cs="Arial"/>
          <w:i/>
        </w:rPr>
        <w:t>b</w:t>
      </w:r>
      <w:r>
        <w:rPr>
          <w:rFonts w:cs="Arial"/>
        </w:rPr>
        <w:t>, so it must go on the left hand side, so the equation is written the other way around:</w:t>
      </w:r>
    </w:p>
    <w:p w14:paraId="6283FB5A" w14:textId="2C706589" w:rsidR="00F46F1A" w:rsidRPr="00F46F1A" w:rsidRDefault="00F46F1A" w:rsidP="00BC279A">
      <w:pPr>
        <w:jc w:val="both"/>
        <w:rPr>
          <w:rFonts w:cs="Arial"/>
        </w:rPr>
      </w:pPr>
      <m:oMathPara>
        <m:oMath>
          <m:r>
            <w:rPr>
              <w:rFonts w:ascii="Cambria Math" w:hAnsi="Cambria Math" w:cs="Arial"/>
            </w:rPr>
            <m:t>b=</m:t>
          </m:r>
          <m:f>
            <m:fPr>
              <m:ctrlPr>
                <w:rPr>
                  <w:rFonts w:ascii="Cambria Math" w:hAnsi="Cambria Math" w:cs="Arial"/>
                  <w:i/>
                </w:rPr>
              </m:ctrlPr>
            </m:fPr>
            <m:num>
              <m:r>
                <w:rPr>
                  <w:rFonts w:ascii="Cambria Math" w:hAnsi="Cambria Math" w:cs="Arial"/>
                </w:rPr>
                <m:t>a</m:t>
              </m:r>
            </m:num>
            <m:den>
              <m:r>
                <w:rPr>
                  <w:rFonts w:ascii="Cambria Math" w:hAnsi="Cambria Math" w:cs="Arial"/>
                </w:rPr>
                <m:t>c</m:t>
              </m:r>
            </m:den>
          </m:f>
        </m:oMath>
      </m:oMathPara>
    </w:p>
    <w:p w14:paraId="003ED4CA" w14:textId="25B79FC0" w:rsidR="00BC279A" w:rsidRDefault="00BC279A" w:rsidP="00BC279A">
      <w:pPr>
        <w:rPr>
          <w:rFonts w:cs="Arial"/>
        </w:rPr>
      </w:pPr>
    </w:p>
    <w:p w14:paraId="6ED86C50" w14:textId="77777777" w:rsidR="00F46F1A" w:rsidRDefault="00F46F1A" w:rsidP="00BC279A">
      <w:pPr>
        <w:rPr>
          <w:rFonts w:cs="Arial"/>
        </w:rPr>
        <w:sectPr w:rsidR="00F46F1A" w:rsidSect="006B7C7A">
          <w:headerReference w:type="default" r:id="rId8"/>
          <w:footerReference w:type="default" r:id="rId9"/>
          <w:pgSz w:w="11906" w:h="16838"/>
          <w:pgMar w:top="1843" w:right="1440" w:bottom="2835" w:left="1440" w:header="567" w:footer="708" w:gutter="0"/>
          <w:cols w:space="708"/>
          <w:docGrid w:linePitch="360"/>
        </w:sectPr>
      </w:pPr>
    </w:p>
    <w:p w14:paraId="673EAAA7" w14:textId="4110346A" w:rsidR="00BC279A" w:rsidRDefault="00BC279A" w:rsidP="00BC279A">
      <w:pPr>
        <w:rPr>
          <w:rFonts w:cs="Arial"/>
        </w:rPr>
      </w:pPr>
      <w:r>
        <w:rPr>
          <w:rFonts w:cs="Arial"/>
        </w:rPr>
        <w:lastRenderedPageBreak/>
        <w:t xml:space="preserve">For example, as explained in section M1.8, a common equation used in </w:t>
      </w:r>
      <w:r w:rsidRPr="009757DC">
        <w:rPr>
          <w:rFonts w:cs="Arial"/>
        </w:rPr>
        <w:t>biological drawing</w:t>
      </w:r>
      <w:r>
        <w:rPr>
          <w:rFonts w:cs="Arial"/>
        </w:rPr>
        <w:t xml:space="preserve"> links </w:t>
      </w:r>
      <w:r w:rsidRPr="009757DC">
        <w:rPr>
          <w:rFonts w:cs="Arial"/>
        </w:rPr>
        <w:t>magnification, image size and object size.</w:t>
      </w:r>
      <w:r>
        <w:rPr>
          <w:rFonts w:cs="Arial"/>
        </w:rPr>
        <w:t xml:space="preserve"> The equation for this is magnification = the size of the image divided by the actual size of the object.</w:t>
      </w:r>
    </w:p>
    <w:p w14:paraId="759DE466" w14:textId="3C7622C3" w:rsidR="00F46F1A" w:rsidRDefault="00F46F1A" w:rsidP="00BC279A">
      <w:pPr>
        <w:rPr>
          <w:rFonts w:cs="Arial"/>
        </w:rPr>
      </w:pPr>
      <m:oMathPara>
        <m:oMath>
          <m:r>
            <w:rPr>
              <w:rFonts w:ascii="Cambria Math" w:hAnsi="Cambria Math" w:cs="Arial"/>
            </w:rPr>
            <m:t xml:space="preserve">magnification= </m:t>
          </m:r>
          <m:f>
            <m:fPr>
              <m:ctrlPr>
                <w:rPr>
                  <w:rFonts w:ascii="Cambria Math" w:hAnsi="Cambria Math" w:cs="Arial"/>
                  <w:i/>
                </w:rPr>
              </m:ctrlPr>
            </m:fPr>
            <m:num>
              <m:r>
                <w:rPr>
                  <w:rFonts w:ascii="Cambria Math" w:hAnsi="Cambria Math" w:cs="Arial"/>
                </w:rPr>
                <m:t>size of image</m:t>
              </m:r>
            </m:num>
            <m:den>
              <m:r>
                <w:rPr>
                  <w:rFonts w:ascii="Cambria Math" w:hAnsi="Cambria Math" w:cs="Arial"/>
                </w:rPr>
                <m:t>size of real object</m:t>
              </m:r>
            </m:den>
          </m:f>
        </m:oMath>
      </m:oMathPara>
    </w:p>
    <w:p w14:paraId="2A60DA60" w14:textId="77777777" w:rsidR="00BC279A" w:rsidRDefault="00BC279A" w:rsidP="00BC279A">
      <w:pPr>
        <w:rPr>
          <w:rFonts w:cs="Arial"/>
        </w:rPr>
      </w:pPr>
      <w:r>
        <w:rPr>
          <w:rFonts w:cs="Arial"/>
        </w:rPr>
        <w:t>If you know the magnification, and the size of the image, you can work out the actual size of the object.  So you need to rearrange the equation to make the actual size of the object the subject.  Your first problem is that what you want as the subject is a denominator in a fraction.  So you would start by multiplying both sides by the actual size of the object.  This allows you to cancel this term from the right hand side of the equation.  So you now have magnification times the actual size of the object equals the size of the image.</w:t>
      </w:r>
    </w:p>
    <w:p w14:paraId="51C0670C" w14:textId="4DBD6CFE" w:rsidR="00E74CBA" w:rsidRDefault="00E74CBA" w:rsidP="00BC279A">
      <w:pPr>
        <w:rPr>
          <w:rFonts w:cs="Arial"/>
        </w:rPr>
      </w:pPr>
      <m:oMathPara>
        <m:oMath>
          <m:r>
            <w:rPr>
              <w:rFonts w:ascii="Cambria Math" w:hAnsi="Cambria Math" w:cs="Arial"/>
            </w:rPr>
            <m:t>magnification x size of real object=size of image</m:t>
          </m:r>
        </m:oMath>
      </m:oMathPara>
    </w:p>
    <w:p w14:paraId="6AE6E02D" w14:textId="77777777" w:rsidR="00BC279A" w:rsidRDefault="00BC279A" w:rsidP="00BC279A">
      <w:pPr>
        <w:rPr>
          <w:rFonts w:cs="Arial"/>
        </w:rPr>
      </w:pPr>
      <w:r>
        <w:rPr>
          <w:rFonts w:cs="Arial"/>
        </w:rPr>
        <w:t>You now divide both sides of the equation by the magnification, which lets you cancel magnification from the left hand side, leaving the actual size on its own, and has size of image divided by magnification on the right hand side.</w:t>
      </w:r>
    </w:p>
    <w:p w14:paraId="0015B756" w14:textId="1D27D759" w:rsidR="00F46F1A" w:rsidRDefault="00F46F1A" w:rsidP="00F46F1A">
      <w:pPr>
        <w:rPr>
          <w:rFonts w:cs="Arial"/>
        </w:rPr>
      </w:pPr>
      <m:oMathPara>
        <m:oMath>
          <m:r>
            <w:rPr>
              <w:rFonts w:ascii="Cambria Math" w:hAnsi="Cambria Math" w:cs="Arial"/>
            </w:rPr>
            <m:t xml:space="preserve">size of real object= </m:t>
          </m:r>
          <m:f>
            <m:fPr>
              <m:ctrlPr>
                <w:rPr>
                  <w:rFonts w:ascii="Cambria Math" w:hAnsi="Cambria Math" w:cs="Arial"/>
                  <w:i/>
                </w:rPr>
              </m:ctrlPr>
            </m:fPr>
            <m:num>
              <m:r>
                <w:rPr>
                  <w:rFonts w:ascii="Cambria Math" w:hAnsi="Cambria Math" w:cs="Arial"/>
                </w:rPr>
                <m:t>size of image</m:t>
              </m:r>
            </m:num>
            <m:den>
              <m:r>
                <w:rPr>
                  <w:rFonts w:ascii="Cambria Math" w:hAnsi="Cambria Math" w:cs="Arial"/>
                </w:rPr>
                <m:t>magnificatio</m:t>
              </m:r>
              <m:r>
                <w:rPr>
                  <w:rFonts w:ascii="Cambria Math" w:hAnsi="Cambria Math" w:cs="Arial"/>
                </w:rPr>
                <m:t>n</m:t>
              </m:r>
            </m:den>
          </m:f>
        </m:oMath>
      </m:oMathPara>
    </w:p>
    <w:p w14:paraId="777DAC22" w14:textId="77777777" w:rsidR="00BC279A" w:rsidRDefault="00BC279A" w:rsidP="00BC279A">
      <w:pPr>
        <w:rPr>
          <w:rFonts w:cs="Arial"/>
        </w:rPr>
      </w:pPr>
      <w:r>
        <w:rPr>
          <w:rFonts w:cs="Arial"/>
        </w:rPr>
        <w:t>Many equations can be represented as a formula triangle. For example, the magnification formula in a triangle looks like this, where ‘I’ represents the size of image, ‘m’ is the magnification and ‘o’ is the size of the real object.</w:t>
      </w:r>
    </w:p>
    <w:p w14:paraId="11D8014E" w14:textId="760F3DA3" w:rsidR="00BC279A" w:rsidRDefault="00BC279A" w:rsidP="00BC279A">
      <w:pPr>
        <w:rPr>
          <w:rFonts w:cs="Arial"/>
        </w:rPr>
      </w:pPr>
      <w:r>
        <w:rPr>
          <w:rFonts w:cs="Arial"/>
          <w:noProof/>
          <w:lang w:eastAsia="en-GB"/>
        </w:rPr>
        <mc:AlternateContent>
          <mc:Choice Requires="wpg">
            <w:drawing>
              <wp:anchor distT="0" distB="0" distL="114300" distR="114300" simplePos="0" relativeHeight="251659264" behindDoc="0" locked="0" layoutInCell="1" allowOverlap="1" wp14:anchorId="41BC9E70" wp14:editId="6D220B94">
                <wp:simplePos x="0" y="0"/>
                <wp:positionH relativeFrom="column">
                  <wp:posOffset>133350</wp:posOffset>
                </wp:positionH>
                <wp:positionV relativeFrom="paragraph">
                  <wp:posOffset>24765</wp:posOffset>
                </wp:positionV>
                <wp:extent cx="1514475" cy="1190625"/>
                <wp:effectExtent l="0" t="0" r="28575" b="9525"/>
                <wp:wrapNone/>
                <wp:docPr id="16" name="Group 16"/>
                <wp:cNvGraphicFramePr/>
                <a:graphic xmlns:a="http://schemas.openxmlformats.org/drawingml/2006/main">
                  <a:graphicData uri="http://schemas.microsoft.com/office/word/2010/wordprocessingGroup">
                    <wpg:wgp>
                      <wpg:cNvGrpSpPr/>
                      <wpg:grpSpPr>
                        <a:xfrm>
                          <a:off x="0" y="0"/>
                          <a:ext cx="1514475" cy="1190625"/>
                          <a:chOff x="0" y="0"/>
                          <a:chExt cx="1514475" cy="1190625"/>
                        </a:xfrm>
                      </wpg:grpSpPr>
                      <wpg:grpSp>
                        <wpg:cNvPr id="9" name="Group 9"/>
                        <wpg:cNvGrpSpPr/>
                        <wpg:grpSpPr>
                          <a:xfrm>
                            <a:off x="0" y="0"/>
                            <a:ext cx="1514475" cy="1190625"/>
                            <a:chOff x="0" y="0"/>
                            <a:chExt cx="1514475" cy="1190625"/>
                          </a:xfrm>
                        </wpg:grpSpPr>
                        <wps:wsp>
                          <wps:cNvPr id="10" name="Isosceles Triangle 10"/>
                          <wps:cNvSpPr/>
                          <wps:spPr>
                            <a:xfrm>
                              <a:off x="0" y="0"/>
                              <a:ext cx="1514475" cy="1181100"/>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a:off x="371475" y="628650"/>
                              <a:ext cx="8001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781050" y="628650"/>
                              <a:ext cx="0" cy="5619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 name="Text Box 2"/>
                        <wps:cNvSpPr txBox="1">
                          <a:spLocks noChangeArrowheads="1"/>
                        </wps:cNvSpPr>
                        <wps:spPr bwMode="auto">
                          <a:xfrm>
                            <a:off x="619125" y="295275"/>
                            <a:ext cx="323850" cy="304800"/>
                          </a:xfrm>
                          <a:prstGeom prst="rect">
                            <a:avLst/>
                          </a:prstGeom>
                          <a:solidFill>
                            <a:srgbClr val="FFFFFF"/>
                          </a:solidFill>
                          <a:ln w="9525">
                            <a:noFill/>
                            <a:miter lim="800000"/>
                            <a:headEnd/>
                            <a:tailEnd/>
                          </a:ln>
                        </wps:spPr>
                        <wps:txbx>
                          <w:txbxContent>
                            <w:p w14:paraId="338EAA94" w14:textId="77777777" w:rsidR="00BC279A" w:rsidRPr="00D43BD3" w:rsidRDefault="00BC279A" w:rsidP="00BC279A">
                              <w:pPr>
                                <w:rPr>
                                  <w:rFonts w:cs="Arial"/>
                                </w:rPr>
                              </w:pPr>
                              <w:r w:rsidRPr="00D43BD3">
                                <w:rPr>
                                  <w:rFonts w:cs="Arial"/>
                                </w:rPr>
                                <w:t>I</w:t>
                              </w:r>
                            </w:p>
                          </w:txbxContent>
                        </wps:txbx>
                        <wps:bodyPr rot="0" vert="horz" wrap="square" lIns="91440" tIns="45720" rIns="91440" bIns="45720" anchor="t" anchorCtr="0">
                          <a:noAutofit/>
                        </wps:bodyPr>
                      </wps:wsp>
                      <wps:wsp>
                        <wps:cNvPr id="14" name="Text Box 2"/>
                        <wps:cNvSpPr txBox="1">
                          <a:spLocks noChangeArrowheads="1"/>
                        </wps:cNvSpPr>
                        <wps:spPr bwMode="auto">
                          <a:xfrm>
                            <a:off x="333375" y="790575"/>
                            <a:ext cx="323850" cy="304800"/>
                          </a:xfrm>
                          <a:prstGeom prst="rect">
                            <a:avLst/>
                          </a:prstGeom>
                          <a:solidFill>
                            <a:srgbClr val="FFFFFF"/>
                          </a:solidFill>
                          <a:ln w="9525">
                            <a:noFill/>
                            <a:miter lim="800000"/>
                            <a:headEnd/>
                            <a:tailEnd/>
                          </a:ln>
                        </wps:spPr>
                        <wps:txbx>
                          <w:txbxContent>
                            <w:p w14:paraId="0332C6E9" w14:textId="77777777" w:rsidR="00BC279A" w:rsidRPr="00D43BD3" w:rsidRDefault="00BC279A" w:rsidP="00BC279A">
                              <w:pPr>
                                <w:rPr>
                                  <w:rFonts w:cs="Arial"/>
                                </w:rPr>
                              </w:pPr>
                              <w:r>
                                <w:rPr>
                                  <w:rFonts w:cs="Arial"/>
                                </w:rPr>
                                <w:t>M</w:t>
                              </w:r>
                            </w:p>
                          </w:txbxContent>
                        </wps:txbx>
                        <wps:bodyPr rot="0" vert="horz" wrap="square" lIns="91440" tIns="45720" rIns="91440" bIns="45720" anchor="t" anchorCtr="0">
                          <a:noAutofit/>
                        </wps:bodyPr>
                      </wps:wsp>
                      <wps:wsp>
                        <wps:cNvPr id="15" name="Text Box 2"/>
                        <wps:cNvSpPr txBox="1">
                          <a:spLocks noChangeArrowheads="1"/>
                        </wps:cNvSpPr>
                        <wps:spPr bwMode="auto">
                          <a:xfrm>
                            <a:off x="885825" y="790575"/>
                            <a:ext cx="323850" cy="304800"/>
                          </a:xfrm>
                          <a:prstGeom prst="rect">
                            <a:avLst/>
                          </a:prstGeom>
                          <a:solidFill>
                            <a:srgbClr val="FFFFFF"/>
                          </a:solidFill>
                          <a:ln w="9525">
                            <a:noFill/>
                            <a:miter lim="800000"/>
                            <a:headEnd/>
                            <a:tailEnd/>
                          </a:ln>
                        </wps:spPr>
                        <wps:txbx>
                          <w:txbxContent>
                            <w:p w14:paraId="4E0595A3" w14:textId="77777777" w:rsidR="00BC279A" w:rsidRPr="00D43BD3" w:rsidRDefault="00BC279A" w:rsidP="00BC279A">
                              <w:pPr>
                                <w:rPr>
                                  <w:rFonts w:cs="Arial"/>
                                </w:rPr>
                              </w:pPr>
                              <w:r>
                                <w:rPr>
                                  <w:rFonts w:cs="Arial"/>
                                </w:rPr>
                                <w:t>O</w:t>
                              </w:r>
                            </w:p>
                          </w:txbxContent>
                        </wps:txbx>
                        <wps:bodyPr rot="0" vert="horz" wrap="square" lIns="91440" tIns="45720" rIns="91440" bIns="45720" anchor="t" anchorCtr="0">
                          <a:noAutofit/>
                        </wps:bodyPr>
                      </wps:wsp>
                    </wpg:wgp>
                  </a:graphicData>
                </a:graphic>
              </wp:anchor>
            </w:drawing>
          </mc:Choice>
          <mc:Fallback>
            <w:pict>
              <v:group id="Group 16" o:spid="_x0000_s1026" style="position:absolute;margin-left:10.5pt;margin-top:1.95pt;width:119.25pt;height:93.75pt;z-index:251659264" coordsize="15144,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">
                <v:group id="Group 9" o:spid="_x0000_s1027" style="position:absolute;width:15144;height:11906" coordsize="15144,11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8" type="#_x0000_t5" style="position:absolute;width:15144;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a0MUA&#10;AADbAAAADwAAAGRycy9kb3ducmV2LnhtbESPQWvCQBCF7wX/wzKCF6kbS2tLdBWRCoX2oNFDj0N2&#10;TILZ2ZBdY/TXO4dCbzO8N+99s1j1rlYdtaHybGA6SUAR595WXBg4HrbPH6BCRLZYeyYDNwqwWg6e&#10;Fphaf+U9dVkslIRwSNFAGWOTah3ykhyGiW+IRTv51mGUtS20bfEq4a7WL0ky0w4rloYSG9qUlJ+z&#10;izOw8+EYuPvNMPk8317H9/ef8du3MaNhv56DitTHf/Pf9ZcVfKGXX2QAv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NrQxQAAANsAAAAPAAAAAAAAAAAAAAAAAJgCAABkcnMv&#10;ZG93bnJldi54bWxQSwUGAAAAAAQABAD1AAAAigMAAAAA&#10;" filled="f" strokecolor="black [3213]" strokeweight=".25pt"/>
                  <v:line id="Straight Connector 11" o:spid="_x0000_s1029" style="position:absolute;visibility:visible;mso-wrap-style:square" from="3714,6286" to="11715,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Lqr4AAADbAAAADwAAAGRycy9kb3ducmV2LnhtbERPTYvCMBC9L/gfwgh701SRRappEUH0&#10;qivrdWjGNthMahNr7a/fLAh7m8f7nHXe21p01HrjWMFsmoAgLpw2XCo4f+8mSxA+IGusHZOCF3nI&#10;s9HHGlPtnnyk7hRKEUPYp6igCqFJpfRFRRb91DXEkbu61mKIsC2lbvEZw20t50nyJS0ajg0VNrSt&#10;qLidHlbB/Yf2u6EbmrsZwmLLF1Me9kapz3G/WYEI1Id/8dt90HH+DP5+iQfI7B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98uqvgAAANsAAAAPAAAAAAAAAAAAAAAAAKEC&#10;AABkcnMvZG93bnJldi54bWxQSwUGAAAAAAQABAD5AAAAjAMAAAAA&#10;" strokecolor="black [3213]" strokeweight=".25pt"/>
                  <v:line id="Straight Connector 12" o:spid="_x0000_s1030" style="position:absolute;visibility:visible;mso-wrap-style:square" from="7810,6286" to="7810,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VV3b4AAADbAAAADwAAAGRycy9kb3ducmV2LnhtbERPTYvCMBC9C/6HMII3TRVZpGtaRBC9&#10;6i6716EZ22AzqU2stb/eLCx4m8f7nE3e21p01HrjWMFinoAgLpw2XCr4/trP1iB8QNZYOyYFT/KQ&#10;Z+PRBlPtHnyi7hxKEUPYp6igCqFJpfRFRRb93DXEkbu41mKIsC2lbvERw20tl0nyIS0ajg0VNrSr&#10;qLie71bB7YcO+6EbmpsZwmrHv6Y8HoxS00m//QQRqA9v8b/7qOP8Jfz9Eg+Q2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JVXdvgAAANsAAAAPAAAAAAAAAAAAAAAAAKEC&#10;AABkcnMvZG93bnJldi54bWxQSwUGAAAAAAQABAD5AAAAjAMAAAAA&#10;" strokecolor="black [3213]" strokeweight=".25pt"/>
                </v:group>
                <v:shapetype id="_x0000_t202" coordsize="21600,21600" o:spt="202" path="m,l,21600r21600,l21600,xe">
                  <v:stroke joinstyle="miter"/>
                  <v:path gradientshapeok="t" o:connecttype="rect"/>
                </v:shapetype>
                <v:shape id="_x0000_s1031" type="#_x0000_t202" style="position:absolute;left:6191;top:2952;width:323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338EAA94" w14:textId="77777777" w:rsidR="00BC279A" w:rsidRPr="00D43BD3" w:rsidRDefault="00BC279A" w:rsidP="00BC279A">
                        <w:pPr>
                          <w:rPr>
                            <w:rFonts w:cs="Arial"/>
                          </w:rPr>
                        </w:pPr>
                        <w:r w:rsidRPr="00D43BD3">
                          <w:rPr>
                            <w:rFonts w:cs="Arial"/>
                          </w:rPr>
                          <w:t>I</w:t>
                        </w:r>
                      </w:p>
                    </w:txbxContent>
                  </v:textbox>
                </v:shape>
                <v:shape id="_x0000_s1032" type="#_x0000_t202" style="position:absolute;left:3333;top:7905;width:323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0332C6E9" w14:textId="77777777" w:rsidR="00BC279A" w:rsidRPr="00D43BD3" w:rsidRDefault="00BC279A" w:rsidP="00BC279A">
                        <w:pPr>
                          <w:rPr>
                            <w:rFonts w:cs="Arial"/>
                          </w:rPr>
                        </w:pPr>
                        <w:r>
                          <w:rPr>
                            <w:rFonts w:cs="Arial"/>
                          </w:rPr>
                          <w:t>M</w:t>
                        </w:r>
                      </w:p>
                    </w:txbxContent>
                  </v:textbox>
                </v:shape>
                <v:shape id="_x0000_s1033" type="#_x0000_t202" style="position:absolute;left:8858;top:7905;width:323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4E0595A3" w14:textId="77777777" w:rsidR="00BC279A" w:rsidRPr="00D43BD3" w:rsidRDefault="00BC279A" w:rsidP="00BC279A">
                        <w:pPr>
                          <w:rPr>
                            <w:rFonts w:cs="Arial"/>
                          </w:rPr>
                        </w:pPr>
                        <w:r>
                          <w:rPr>
                            <w:rFonts w:cs="Arial"/>
                          </w:rPr>
                          <w:t>O</w:t>
                        </w:r>
                      </w:p>
                    </w:txbxContent>
                  </v:textbox>
                </v:shape>
              </v:group>
            </w:pict>
          </mc:Fallback>
        </mc:AlternateContent>
      </w:r>
    </w:p>
    <w:p w14:paraId="26B6D113" w14:textId="77777777" w:rsidR="00BC279A" w:rsidRDefault="00BC279A" w:rsidP="00BC279A">
      <w:pPr>
        <w:rPr>
          <w:rFonts w:cs="Arial"/>
        </w:rPr>
      </w:pPr>
    </w:p>
    <w:p w14:paraId="4E7F812C" w14:textId="018BD0DB" w:rsidR="00BC279A" w:rsidRDefault="00BC279A" w:rsidP="00BC279A">
      <w:pPr>
        <w:rPr>
          <w:rFonts w:cs="Arial"/>
        </w:rPr>
      </w:pPr>
    </w:p>
    <w:p w14:paraId="0C8B4277" w14:textId="77777777" w:rsidR="00BC279A" w:rsidRDefault="00BC279A" w:rsidP="00BC279A">
      <w:pPr>
        <w:rPr>
          <w:rFonts w:cs="Arial"/>
        </w:rPr>
      </w:pPr>
    </w:p>
    <w:p w14:paraId="0E265AC0" w14:textId="3FCF83D5" w:rsidR="00BC279A" w:rsidRDefault="00BC279A" w:rsidP="00BC279A">
      <w:pPr>
        <w:rPr>
          <w:rFonts w:cs="Arial"/>
        </w:rPr>
      </w:pPr>
      <w:r>
        <w:rPr>
          <w:rFonts w:cs="Arial"/>
        </w:rPr>
        <w:t>Although these are very useful, it is essential that you understand how to rearrange formulae yourself, and fully understand the equals sign.  If you rely on the triangle, when you come to rearrange, for example, the equation for a straight line:</w:t>
      </w:r>
    </w:p>
    <w:p w14:paraId="70742C0C" w14:textId="34979B13" w:rsidR="00BC279A" w:rsidRDefault="00BC279A" w:rsidP="00224526">
      <w:pPr>
        <w:jc w:val="center"/>
        <w:rPr>
          <w:rFonts w:cs="Arial"/>
        </w:rPr>
      </w:pPr>
      <w:r>
        <w:rPr>
          <w:rFonts w:cs="Arial"/>
        </w:rPr>
        <w:t>y = mx + c</w:t>
      </w:r>
    </w:p>
    <w:p w14:paraId="33CAC052" w14:textId="77777777" w:rsidR="00BC279A" w:rsidRDefault="00BC279A" w:rsidP="00BC279A">
      <w:pPr>
        <w:rPr>
          <w:rFonts w:cs="Arial"/>
        </w:rPr>
      </w:pPr>
      <w:proofErr w:type="gramStart"/>
      <w:r>
        <w:rPr>
          <w:rFonts w:cs="Arial"/>
        </w:rPr>
        <w:t>or</w:t>
      </w:r>
      <w:proofErr w:type="gramEnd"/>
      <w:r>
        <w:rPr>
          <w:rFonts w:cs="Arial"/>
        </w:rPr>
        <w:t xml:space="preserve"> Pythagoras’s equation: </w:t>
      </w:r>
    </w:p>
    <w:p w14:paraId="0440DC4A" w14:textId="77777777" w:rsidR="00BC279A" w:rsidRDefault="00BC279A" w:rsidP="00224526">
      <w:pPr>
        <w:jc w:val="center"/>
        <w:rPr>
          <w:rFonts w:cs="Arial"/>
        </w:rPr>
      </w:pPr>
      <w:r>
        <w:rPr>
          <w:rFonts w:cs="Arial"/>
        </w:rPr>
        <w:t>a</w:t>
      </w:r>
      <w:r w:rsidRPr="004E3631">
        <w:rPr>
          <w:rFonts w:cs="Arial"/>
          <w:vertAlign w:val="superscript"/>
        </w:rPr>
        <w:t>2</w:t>
      </w:r>
      <w:r>
        <w:rPr>
          <w:rFonts w:cs="Arial"/>
        </w:rPr>
        <w:t xml:space="preserve"> + b</w:t>
      </w:r>
      <w:r w:rsidRPr="004E3631">
        <w:rPr>
          <w:rFonts w:cs="Arial"/>
          <w:vertAlign w:val="superscript"/>
        </w:rPr>
        <w:t>2</w:t>
      </w:r>
      <w:r>
        <w:rPr>
          <w:rFonts w:cs="Arial"/>
        </w:rPr>
        <w:t xml:space="preserve"> = c</w:t>
      </w:r>
      <w:r w:rsidRPr="004E3631">
        <w:rPr>
          <w:rFonts w:cs="Arial"/>
          <w:vertAlign w:val="superscript"/>
        </w:rPr>
        <w:t>2</w:t>
      </w:r>
    </w:p>
    <w:p w14:paraId="474FB5D5" w14:textId="33766098" w:rsidR="00F46F1A" w:rsidRDefault="00BC279A" w:rsidP="00BC279A">
      <w:pPr>
        <w:rPr>
          <w:rFonts w:cs="Arial"/>
        </w:rPr>
      </w:pPr>
      <w:proofErr w:type="gramStart"/>
      <w:r>
        <w:rPr>
          <w:rFonts w:cs="Arial"/>
        </w:rPr>
        <w:t>you</w:t>
      </w:r>
      <w:proofErr w:type="gramEnd"/>
      <w:r>
        <w:rPr>
          <w:rFonts w:cs="Arial"/>
        </w:rPr>
        <w:t xml:space="preserve"> will not be able to do it.</w:t>
      </w:r>
    </w:p>
    <w:p w14:paraId="5F64707F" w14:textId="77777777" w:rsidR="00F46F1A" w:rsidRDefault="00F46F1A">
      <w:pPr>
        <w:spacing w:after="0" w:line="240" w:lineRule="auto"/>
        <w:rPr>
          <w:rFonts w:cs="Arial"/>
        </w:rPr>
      </w:pPr>
      <w:r>
        <w:rPr>
          <w:rFonts w:cs="Arial"/>
        </w:rPr>
        <w:br w:type="page"/>
      </w:r>
    </w:p>
    <w:p w14:paraId="169A2B28" w14:textId="77777777" w:rsidR="00BC279A" w:rsidRPr="009757DC" w:rsidRDefault="00BC279A" w:rsidP="00BC279A">
      <w:pPr>
        <w:rPr>
          <w:rFonts w:cs="Arial"/>
        </w:rPr>
      </w:pPr>
    </w:p>
    <w:p w14:paraId="7196D8A0" w14:textId="06BC17ED" w:rsidR="00BC279A" w:rsidRDefault="005B4633" w:rsidP="00BC279A">
      <w:pPr>
        <w:rPr>
          <w:rFonts w:cs="Arial"/>
        </w:rPr>
      </w:pPr>
      <w:r w:rsidRPr="00F46F1A">
        <w:rPr>
          <w:rFonts w:cs="Arial"/>
          <w:noProof/>
          <w:lang w:eastAsia="en-GB"/>
        </w:rPr>
        <mc:AlternateContent>
          <mc:Choice Requires="wps">
            <w:drawing>
              <wp:anchor distT="0" distB="0" distL="114300" distR="114300" simplePos="0" relativeHeight="251664384" behindDoc="0" locked="0" layoutInCell="1" allowOverlap="1" wp14:anchorId="530933AB" wp14:editId="4D5AC08F">
                <wp:simplePos x="0" y="0"/>
                <wp:positionH relativeFrom="column">
                  <wp:posOffset>-228600</wp:posOffset>
                </wp:positionH>
                <wp:positionV relativeFrom="paragraph">
                  <wp:posOffset>5470525</wp:posOffset>
                </wp:positionV>
                <wp:extent cx="6281420" cy="85026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18pt;margin-top:430.75pt;width:494.6pt;height:6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" filled="f" stroked="f">
                <v:textbo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F46F1A" w:rsidRPr="00F46F1A">
        <w:rPr>
          <w:rFonts w:cs="Arial"/>
          <w:noProof/>
          <w:lang w:eastAsia="en-GB"/>
        </w:rPr>
        <mc:AlternateContent>
          <mc:Choice Requires="wps">
            <w:drawing>
              <wp:anchor distT="0" distB="0" distL="114300" distR="114300" simplePos="0" relativeHeight="251661312" behindDoc="0" locked="0" layoutInCell="1" allowOverlap="1" wp14:anchorId="2B7F8889" wp14:editId="10ED1827">
                <wp:simplePos x="0" y="0"/>
                <wp:positionH relativeFrom="column">
                  <wp:posOffset>-295275</wp:posOffset>
                </wp:positionH>
                <wp:positionV relativeFrom="paragraph">
                  <wp:posOffset>7299325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4"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25pt;margin-top:574.75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NfSAQAADA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" fillcolor="#d8d8d8" stroked="f" strokeweight="2pt">
                <v:textbo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5"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v:textbox>
              </v:roundrect>
            </w:pict>
          </mc:Fallback>
        </mc:AlternateContent>
      </w:r>
      <w:r w:rsidR="00F46F1A" w:rsidRPr="00F46F1A">
        <w:rPr>
          <w:rFonts w:cs="Arial"/>
          <w:noProof/>
          <w:lang w:eastAsia="en-GB"/>
        </w:rPr>
        <mc:AlternateContent>
          <mc:Choice Requires="wps">
            <w:drawing>
              <wp:anchor distT="0" distB="0" distL="114300" distR="114300" simplePos="0" relativeHeight="251662336" behindDoc="0" locked="0" layoutInCell="1" allowOverlap="1" wp14:anchorId="2F03B090" wp14:editId="12D85978">
                <wp:simplePos x="0" y="0"/>
                <wp:positionH relativeFrom="column">
                  <wp:posOffset>-209550</wp:posOffset>
                </wp:positionH>
                <wp:positionV relativeFrom="paragraph">
                  <wp:posOffset>5034915</wp:posOffset>
                </wp:positionV>
                <wp:extent cx="6170295" cy="4572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53280EC2" w14:textId="77777777" w:rsidR="00F46F1A" w:rsidRDefault="00F46F1A" w:rsidP="00F46F1A">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margin-left:-16.5pt;margin-top:396.45pt;width:485.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" filled="f" stroked="f">
                <v:textbox>
                  <w:txbxContent>
                    <w:p w14:paraId="53280EC2" w14:textId="77777777" w:rsidR="00F46F1A" w:rsidRDefault="00F46F1A" w:rsidP="00F46F1A">
                      <w:pPr>
                        <w:pStyle w:val="Heading3"/>
                        <w:jc w:val="center"/>
                      </w:pPr>
                      <w:r>
                        <w:t>Produced in collaboration with the University of East Anglia</w:t>
                      </w:r>
                    </w:p>
                  </w:txbxContent>
                </v:textbox>
              </v:shape>
            </w:pict>
          </mc:Fallback>
        </mc:AlternateContent>
      </w:r>
      <w:r w:rsidR="00F46F1A" w:rsidRPr="00F46F1A">
        <w:rPr>
          <w:rFonts w:cs="Arial"/>
          <w:noProof/>
          <w:lang w:eastAsia="en-GB"/>
        </w:rPr>
        <mc:AlternateContent>
          <mc:Choice Requires="wps">
            <w:drawing>
              <wp:anchor distT="0" distB="0" distL="114300" distR="114300" simplePos="0" relativeHeight="251663360" behindDoc="0" locked="0" layoutInCell="1" allowOverlap="1" wp14:anchorId="055EF41D" wp14:editId="78EE9438">
                <wp:simplePos x="0" y="0"/>
                <wp:positionH relativeFrom="column">
                  <wp:posOffset>-238125</wp:posOffset>
                </wp:positionH>
                <wp:positionV relativeFrom="paragraph">
                  <wp:posOffset>6289675</wp:posOffset>
                </wp:positionV>
                <wp:extent cx="6281420" cy="1041400"/>
                <wp:effectExtent l="0" t="0" r="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003339F7" w14:textId="182856C4"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6" w:history="1">
                              <w:r w:rsidRPr="001A1B64">
                                <w:rPr>
                                  <w:rStyle w:val="Hyperlink"/>
                                  <w:rFonts w:cs="Arial"/>
                                  <w:sz w:val="16"/>
                                  <w:szCs w:val="16"/>
                                </w:rPr>
                                <w:t>Like</w:t>
                              </w:r>
                            </w:hyperlink>
                            <w:r>
                              <w:rPr>
                                <w:rFonts w:cs="Arial"/>
                                <w:sz w:val="16"/>
                                <w:szCs w:val="16"/>
                              </w:rPr>
                              <w:t>’ or ‘</w:t>
                            </w:r>
                            <w:hyperlink r:id="rId1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18.75pt;margin-top:495.25pt;width:494.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" filled="f" stroked="f">
                <v:textbox>
                  <w:txbxContent>
                    <w:p w14:paraId="003339F7" w14:textId="182856C4"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9" w:history="1">
                        <w:r w:rsidRPr="001A1B64">
                          <w:rPr>
                            <w:rStyle w:val="Hyperlink"/>
                            <w:rFonts w:cs="Arial"/>
                            <w:sz w:val="16"/>
                            <w:szCs w:val="16"/>
                          </w:rPr>
                          <w:t>Li</w:t>
                        </w:r>
                        <w:bookmarkStart w:id="1" w:name="_GoBack"/>
                        <w:bookmarkEnd w:id="1"/>
                        <w:r w:rsidRPr="001A1B64">
                          <w:rPr>
                            <w:rStyle w:val="Hyperlink"/>
                            <w:rFonts w:cs="Arial"/>
                            <w:sz w:val="16"/>
                            <w:szCs w:val="16"/>
                          </w:rPr>
                          <w:t>ke</w:t>
                        </w:r>
                      </w:hyperlink>
                      <w:r>
                        <w:rPr>
                          <w:rFonts w:cs="Arial"/>
                          <w:sz w:val="16"/>
                          <w:szCs w:val="16"/>
                        </w:rPr>
                        <w:t>’ or ‘</w:t>
                      </w:r>
                      <w:hyperlink r:id="rId2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BC279A" w:rsidSect="001F70FA">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080B" w14:textId="4B7CE89D"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DE8AD2D" wp14:editId="4248851E">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C87268">
      <w:rPr>
        <w:noProof/>
        <w:sz w:val="16"/>
        <w:szCs w:val="16"/>
      </w:rPr>
      <w:t>1</w:t>
    </w:r>
    <w:r w:rsidRPr="0081395C">
      <w:rPr>
        <w:noProof/>
        <w:sz w:val="16"/>
        <w:szCs w:val="16"/>
      </w:rPr>
      <w:fldChar w:fldCharType="end"/>
    </w:r>
    <w:r>
      <w:rPr>
        <w:noProof/>
        <w:sz w:val="16"/>
        <w:szCs w:val="16"/>
      </w:rPr>
      <w:tab/>
    </w:r>
  </w:p>
  <w:p w14:paraId="46717865" w14:textId="3A8DB833" w:rsidR="006B7C7A" w:rsidRPr="006B7C7A" w:rsidRDefault="00BC279A"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6669E4F3"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C87268">
      <w:rPr>
        <w:noProof/>
        <w:sz w:val="16"/>
        <w:szCs w:val="16"/>
      </w:rPr>
      <w:t>3</w:t>
    </w:r>
    <w:r w:rsidRPr="0081395C">
      <w:rPr>
        <w:noProof/>
        <w:sz w:val="16"/>
        <w:szCs w:val="16"/>
      </w:rPr>
      <w:fldChar w:fldCharType="end"/>
    </w:r>
    <w:r w:rsidR="00BC279A">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A0FC" w14:textId="77777777" w:rsidR="00906EBD" w:rsidRDefault="00FB5A3E" w:rsidP="00D21C92">
    <w:pPr>
      <w:pStyle w:val="Header"/>
    </w:pPr>
    <w:r>
      <w:rPr>
        <w:noProof/>
        <w:lang w:eastAsia="en-GB"/>
      </w:rPr>
      <w:drawing>
        <wp:anchor distT="0" distB="0" distL="114300" distR="114300" simplePos="0" relativeHeight="251659264" behindDoc="1" locked="0" layoutInCell="1" allowOverlap="1" wp14:anchorId="1DD3E3D7" wp14:editId="64D86D5E">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39DB"/>
    <w:rsid w:val="0005785C"/>
    <w:rsid w:val="00064CD4"/>
    <w:rsid w:val="000746B2"/>
    <w:rsid w:val="000805C5"/>
    <w:rsid w:val="00083F03"/>
    <w:rsid w:val="00085224"/>
    <w:rsid w:val="000D0602"/>
    <w:rsid w:val="000D09AE"/>
    <w:rsid w:val="000D23F0"/>
    <w:rsid w:val="000D6D72"/>
    <w:rsid w:val="000E6DB1"/>
    <w:rsid w:val="001114D3"/>
    <w:rsid w:val="00122137"/>
    <w:rsid w:val="001325C6"/>
    <w:rsid w:val="00136ABA"/>
    <w:rsid w:val="001473D2"/>
    <w:rsid w:val="0016654B"/>
    <w:rsid w:val="00176983"/>
    <w:rsid w:val="001832D7"/>
    <w:rsid w:val="0018426D"/>
    <w:rsid w:val="00192190"/>
    <w:rsid w:val="001B2783"/>
    <w:rsid w:val="001C3787"/>
    <w:rsid w:val="001D48A3"/>
    <w:rsid w:val="001F70FA"/>
    <w:rsid w:val="00204D4D"/>
    <w:rsid w:val="00224526"/>
    <w:rsid w:val="0025526D"/>
    <w:rsid w:val="00265900"/>
    <w:rsid w:val="002743AE"/>
    <w:rsid w:val="002804A7"/>
    <w:rsid w:val="002876D0"/>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86DAA"/>
    <w:rsid w:val="00394712"/>
    <w:rsid w:val="003A7E77"/>
    <w:rsid w:val="003B4A22"/>
    <w:rsid w:val="003B5BCE"/>
    <w:rsid w:val="003C1ADC"/>
    <w:rsid w:val="003F4E64"/>
    <w:rsid w:val="004037DB"/>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B4633"/>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CD9"/>
    <w:rsid w:val="00737176"/>
    <w:rsid w:val="00750F32"/>
    <w:rsid w:val="00753272"/>
    <w:rsid w:val="00755848"/>
    <w:rsid w:val="0076359B"/>
    <w:rsid w:val="00770C0F"/>
    <w:rsid w:val="007744CF"/>
    <w:rsid w:val="007916A6"/>
    <w:rsid w:val="007953E7"/>
    <w:rsid w:val="007B5519"/>
    <w:rsid w:val="007B7752"/>
    <w:rsid w:val="007C447A"/>
    <w:rsid w:val="007C7EA0"/>
    <w:rsid w:val="007E3872"/>
    <w:rsid w:val="008064FC"/>
    <w:rsid w:val="00817B2F"/>
    <w:rsid w:val="00823DD2"/>
    <w:rsid w:val="008324A5"/>
    <w:rsid w:val="0084029E"/>
    <w:rsid w:val="00863C0D"/>
    <w:rsid w:val="0087768F"/>
    <w:rsid w:val="00887010"/>
    <w:rsid w:val="008A05BD"/>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2C2B"/>
    <w:rsid w:val="00A01ECB"/>
    <w:rsid w:val="00A11965"/>
    <w:rsid w:val="00A158D8"/>
    <w:rsid w:val="00A422E6"/>
    <w:rsid w:val="00A44F03"/>
    <w:rsid w:val="00A55164"/>
    <w:rsid w:val="00A71211"/>
    <w:rsid w:val="00AA7E75"/>
    <w:rsid w:val="00AB7712"/>
    <w:rsid w:val="00B005D8"/>
    <w:rsid w:val="00B440B0"/>
    <w:rsid w:val="00B47B21"/>
    <w:rsid w:val="00B559A4"/>
    <w:rsid w:val="00BA3F5A"/>
    <w:rsid w:val="00BA78EF"/>
    <w:rsid w:val="00BB3899"/>
    <w:rsid w:val="00BC279A"/>
    <w:rsid w:val="00BE1451"/>
    <w:rsid w:val="00BF1419"/>
    <w:rsid w:val="00C41153"/>
    <w:rsid w:val="00C65D32"/>
    <w:rsid w:val="00C87268"/>
    <w:rsid w:val="00CA4837"/>
    <w:rsid w:val="00CA551A"/>
    <w:rsid w:val="00CD01BC"/>
    <w:rsid w:val="00CD3271"/>
    <w:rsid w:val="00CE2377"/>
    <w:rsid w:val="00D04336"/>
    <w:rsid w:val="00D046EA"/>
    <w:rsid w:val="00D17411"/>
    <w:rsid w:val="00D21C92"/>
    <w:rsid w:val="00D22A17"/>
    <w:rsid w:val="00D25728"/>
    <w:rsid w:val="00D36F89"/>
    <w:rsid w:val="00D5790E"/>
    <w:rsid w:val="00D62D2A"/>
    <w:rsid w:val="00D67396"/>
    <w:rsid w:val="00DC23AE"/>
    <w:rsid w:val="00DC35BA"/>
    <w:rsid w:val="00E07FA0"/>
    <w:rsid w:val="00E26AF8"/>
    <w:rsid w:val="00E275E7"/>
    <w:rsid w:val="00E37D89"/>
    <w:rsid w:val="00E50857"/>
    <w:rsid w:val="00E52607"/>
    <w:rsid w:val="00E56F6B"/>
    <w:rsid w:val="00E74CBA"/>
    <w:rsid w:val="00E81783"/>
    <w:rsid w:val="00E84ECF"/>
    <w:rsid w:val="00E8521A"/>
    <w:rsid w:val="00EB32AE"/>
    <w:rsid w:val="00F05D66"/>
    <w:rsid w:val="00F165E9"/>
    <w:rsid w:val="00F22248"/>
    <w:rsid w:val="00F261EA"/>
    <w:rsid w:val="00F447AA"/>
    <w:rsid w:val="00F46F1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http://www.ocr.org.uk/expression-of-interest"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disliked%20the%20A%20Level%20Biology%20Maths%20resource%20M2.2%20Tutori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liked%20the%20A%20Level%20Biology%20Maths%20resource%20M2.2%20Tutorial" TargetMode="External"/><Relationship Id="rId20" Type="http://schemas.openxmlformats.org/officeDocument/2006/relationships/hyperlink" Target="mailto:resources.feedback@ocr.org.uk?subject=I%20disliked%20the%20A%20Level%20Biology%20Maths%20resource%20M2.2%20Tutori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 TargetMode="External"/><Relationship Id="rId23" Type="http://schemas.openxmlformats.org/officeDocument/2006/relationships/footer" Target="foot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mailto:resources.feedback@ocr.org.uk?subject=I%20liked%20the%20A%20Level%20Biology%20Maths%20resource%20M2.2%20Tutori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 TargetMode="External"/><Relationship Id="rId22" Type="http://schemas.openxmlformats.org/officeDocument/2006/relationships/header" Target="header2.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8267C-DC66-4936-B940-8E613A86F294}"/>
</file>

<file path=customXml/itemProps2.xml><?xml version="1.0" encoding="utf-8"?>
<ds:datastoreItem xmlns:ds="http://schemas.openxmlformats.org/officeDocument/2006/customXml" ds:itemID="{E5AE1505-60A0-4861-9767-25AD70839C38}"/>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AS and A Level Biology M2.2 Text Tutorial</vt:lpstr>
    </vt:vector>
  </TitlesOfParts>
  <Company>Cambridge Assessment</Company>
  <LinksUpToDate>false</LinksUpToDate>
  <CharactersWithSpaces>3217</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M2.2 Text Tutorial</dc:title>
  <dc:creator>OCR</dc:creator>
  <cp:keywords>A Level, Biology, maths, M2.2, Text Tutorial</cp:keywords>
  <cp:lastModifiedBy>Richard Tateson</cp:lastModifiedBy>
  <cp:revision>2</cp:revision>
  <cp:lastPrinted>2016-01-18T14:50:00Z</cp:lastPrinted>
  <dcterms:created xsi:type="dcterms:W3CDTF">2017-06-02T15:50:00Z</dcterms:created>
  <dcterms:modified xsi:type="dcterms:W3CDTF">2017-06-02T15:50:00Z</dcterms:modified>
</cp:coreProperties>
</file>